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0101" w14:textId="00029567" w:rsidR="006F5E46" w:rsidRDefault="006F5E46" w:rsidP="00F80F8C">
      <w:r>
        <w:t>Dear Colleague</w:t>
      </w:r>
    </w:p>
    <w:p w14:paraId="7E2A2DDC" w14:textId="03A274B1" w:rsidR="006F5E46" w:rsidRDefault="006F5E46" w:rsidP="00BE7E61">
      <w:pPr>
        <w:pStyle w:val="Heading1"/>
      </w:pPr>
      <w:r>
        <w:t>Essential Skills Northern Ireland – Alternative Arrangements for awarding until 31 August 2021</w:t>
      </w:r>
    </w:p>
    <w:p w14:paraId="0A636B6B" w14:textId="6FB9771B" w:rsidR="006F5E46" w:rsidRDefault="7BA371B1" w:rsidP="00F80F8C">
      <w:r>
        <w:t xml:space="preserve">As you will be aware </w:t>
      </w:r>
      <w:r w:rsidR="185AB838">
        <w:t xml:space="preserve">the Minister for the Economy in Northern Ireland has advised that Essential Skills external assessments will be cancelled from 1 March 2021 until 31 August 2021. In their place will be a </w:t>
      </w:r>
      <w:r w:rsidR="44B5ACF0">
        <w:t xml:space="preserve">teacher </w:t>
      </w:r>
      <w:r w:rsidR="185AB838">
        <w:t>judgement approach based upon suitable evidence.</w:t>
      </w:r>
      <w:r w:rsidR="5ACF1A68">
        <w:t xml:space="preserve"> </w:t>
      </w:r>
      <w:r w:rsidR="3B1CC149">
        <w:t xml:space="preserve">This </w:t>
      </w:r>
      <w:r w:rsidR="405EAC7E">
        <w:t>document sets out which qualifications are covered and how Pearson intends to manage this process between now and the end of the academic year.</w:t>
      </w:r>
    </w:p>
    <w:p w14:paraId="20B1E4C5" w14:textId="6559D462" w:rsidR="00412DF8" w:rsidRDefault="00746E0C" w:rsidP="00BE7E61">
      <w:pPr>
        <w:pStyle w:val="Heading2"/>
      </w:pPr>
      <w:r>
        <w:t>Qualifications covered</w:t>
      </w:r>
    </w:p>
    <w:p w14:paraId="4235AC50" w14:textId="6E6BC3D4" w:rsidR="00746E0C" w:rsidRDefault="00746E0C">
      <w:r>
        <w:t>This arrangement covers the following qualifications:</w:t>
      </w:r>
    </w:p>
    <w:p w14:paraId="43F99625" w14:textId="4FEE30EA" w:rsidR="00746E0C" w:rsidRDefault="00746E0C" w:rsidP="00746E0C">
      <w:pPr>
        <w:pStyle w:val="ListParagraph"/>
        <w:numPr>
          <w:ilvl w:val="0"/>
          <w:numId w:val="1"/>
        </w:numPr>
      </w:pPr>
      <w:r>
        <w:t xml:space="preserve">Level 1 Certificate in Essential Skills - Application of Number </w:t>
      </w:r>
    </w:p>
    <w:p w14:paraId="374B4068" w14:textId="1ECD1D63" w:rsidR="00746E0C" w:rsidRDefault="00746E0C" w:rsidP="00746E0C">
      <w:pPr>
        <w:pStyle w:val="ListParagraph"/>
        <w:numPr>
          <w:ilvl w:val="0"/>
          <w:numId w:val="1"/>
        </w:numPr>
      </w:pPr>
      <w:r>
        <w:t xml:space="preserve">Level 1 Certificate in Essential Skills – Communication </w:t>
      </w:r>
    </w:p>
    <w:p w14:paraId="66D206B7" w14:textId="3802CD7C" w:rsidR="00746E0C" w:rsidRDefault="00746E0C" w:rsidP="00746E0C">
      <w:pPr>
        <w:pStyle w:val="ListParagraph"/>
        <w:numPr>
          <w:ilvl w:val="0"/>
          <w:numId w:val="1"/>
        </w:numPr>
      </w:pPr>
      <w:r>
        <w:t xml:space="preserve">Level 2 Certificate in Essential Skills - Application of Number </w:t>
      </w:r>
    </w:p>
    <w:p w14:paraId="0C9E67A3" w14:textId="0EA60BF2" w:rsidR="00746E0C" w:rsidRDefault="00746E0C" w:rsidP="00746E0C">
      <w:pPr>
        <w:pStyle w:val="ListParagraph"/>
        <w:numPr>
          <w:ilvl w:val="0"/>
          <w:numId w:val="1"/>
        </w:numPr>
      </w:pPr>
      <w:r>
        <w:t>Level 2 Certificate in Essential Skills – Communication</w:t>
      </w:r>
    </w:p>
    <w:p w14:paraId="13250634" w14:textId="372989A3" w:rsidR="00746E0C" w:rsidRDefault="00746E0C" w:rsidP="00746E0C">
      <w:r>
        <w:t>All other ESNI qualifications, including ICT and the Speaking, Listening and Communicating (SLC) element of ESNI Communication will continue to be assessed as normal. Adaptation to allow SLC to be assessed remotely using video conferencing software has already been put in place and this will continue.</w:t>
      </w:r>
    </w:p>
    <w:p w14:paraId="4F91F7E6" w14:textId="4A06AD63" w:rsidR="00746E0C" w:rsidRDefault="00746E0C" w:rsidP="00BE7E61">
      <w:pPr>
        <w:pStyle w:val="Heading2"/>
      </w:pPr>
      <w:r>
        <w:t>What do you need to do</w:t>
      </w:r>
    </w:p>
    <w:p w14:paraId="215E577A" w14:textId="069054F2" w:rsidR="00746E0C" w:rsidRDefault="00746E0C" w:rsidP="00F80F8C">
      <w:pPr>
        <w:pStyle w:val="ListParagraph"/>
        <w:numPr>
          <w:ilvl w:val="0"/>
          <w:numId w:val="11"/>
        </w:numPr>
      </w:pPr>
      <w:r>
        <w:t>If you want to submit learners for a Centre Determined Grade (CDG) you will need to assess each learner and make a judgement on whether the</w:t>
      </w:r>
      <w:r w:rsidR="0019702E">
        <w:t>y</w:t>
      </w:r>
      <w:r>
        <w:t xml:space="preserve"> should pass the external assessment. </w:t>
      </w:r>
    </w:p>
    <w:p w14:paraId="20DDB9B6" w14:textId="71091127" w:rsidR="00746E0C" w:rsidRPr="00F80F8C" w:rsidRDefault="00746E0C" w:rsidP="00F80F8C">
      <w:pPr>
        <w:pStyle w:val="ListParagraph"/>
        <w:numPr>
          <w:ilvl w:val="0"/>
          <w:numId w:val="11"/>
        </w:numPr>
        <w:rPr>
          <w:rFonts w:ascii="Segoe UI" w:eastAsia="Times New Roman" w:hAnsi="Segoe UI" w:cs="Segoe UI"/>
          <w:sz w:val="18"/>
          <w:szCs w:val="18"/>
          <w:lang w:eastAsia="en-GB"/>
        </w:rPr>
      </w:pPr>
      <w:r w:rsidRPr="00F80F8C">
        <w:rPr>
          <w:rFonts w:ascii="Calibri" w:eastAsia="Times New Roman" w:hAnsi="Calibri" w:cs="Calibri"/>
          <w:lang w:eastAsia="en-GB"/>
        </w:rPr>
        <w:t>You will need to clearly identify why learners are eligibl</w:t>
      </w:r>
      <w:r w:rsidR="00BE7E61" w:rsidRPr="00F80F8C">
        <w:rPr>
          <w:rFonts w:ascii="Calibri" w:eastAsia="Times New Roman" w:hAnsi="Calibri" w:cs="Calibri"/>
          <w:lang w:eastAsia="en-GB"/>
        </w:rPr>
        <w:t>e</w:t>
      </w:r>
      <w:r w:rsidRPr="00F80F8C">
        <w:rPr>
          <w:rFonts w:ascii="Calibri" w:eastAsia="Times New Roman" w:hAnsi="Calibri" w:cs="Calibri"/>
          <w:lang w:eastAsia="en-GB"/>
        </w:rPr>
        <w:t xml:space="preserve">. </w:t>
      </w:r>
    </w:p>
    <w:p w14:paraId="5CF6E789" w14:textId="68091A89" w:rsidR="00BE7E61" w:rsidRPr="00F80F8C" w:rsidRDefault="00746E0C" w:rsidP="00F80F8C">
      <w:pPr>
        <w:pStyle w:val="ListParagraph"/>
        <w:numPr>
          <w:ilvl w:val="0"/>
          <w:numId w:val="11"/>
        </w:numPr>
        <w:rPr>
          <w:rFonts w:ascii="Segoe UI" w:eastAsia="Times New Roman" w:hAnsi="Segoe UI" w:cs="Segoe UI"/>
          <w:sz w:val="18"/>
          <w:szCs w:val="18"/>
          <w:lang w:eastAsia="en-GB"/>
        </w:rPr>
      </w:pPr>
      <w:r w:rsidRPr="00F80F8C">
        <w:rPr>
          <w:rFonts w:ascii="Calibri" w:eastAsia="Times New Roman" w:hAnsi="Calibri" w:cs="Calibri"/>
          <w:lang w:eastAsia="en-GB"/>
        </w:rPr>
        <w:t>You should use the criteria</w:t>
      </w:r>
      <w:r w:rsidR="00BE7E61" w:rsidRPr="00F80F8C">
        <w:rPr>
          <w:rFonts w:ascii="Calibri" w:eastAsia="Times New Roman" w:hAnsi="Calibri" w:cs="Calibri"/>
          <w:lang w:eastAsia="en-GB"/>
        </w:rPr>
        <w:t xml:space="preserve"> in the table below</w:t>
      </w:r>
      <w:r w:rsidRPr="00F80F8C">
        <w:rPr>
          <w:rFonts w:ascii="Calibri" w:eastAsia="Times New Roman" w:hAnsi="Calibri" w:cs="Calibri"/>
          <w:lang w:eastAsia="en-GB"/>
        </w:rPr>
        <w:t xml:space="preserve"> to support you</w:t>
      </w:r>
      <w:r w:rsidR="00BE7E61" w:rsidRPr="00F80F8C">
        <w:rPr>
          <w:rFonts w:ascii="Calibri" w:eastAsia="Times New Roman" w:hAnsi="Calibri" w:cs="Calibri"/>
          <w:lang w:eastAsia="en-GB"/>
        </w:rPr>
        <w:t>r</w:t>
      </w:r>
      <w:r w:rsidRPr="00F80F8C">
        <w:rPr>
          <w:rFonts w:ascii="Calibri" w:eastAsia="Times New Roman" w:hAnsi="Calibri" w:cs="Calibri"/>
          <w:lang w:eastAsia="en-GB"/>
        </w:rPr>
        <w:t xml:space="preserve"> judgements of</w:t>
      </w:r>
      <w:r w:rsidR="0019702E">
        <w:rPr>
          <w:rFonts w:ascii="Calibri" w:eastAsia="Times New Roman" w:hAnsi="Calibri" w:cs="Calibri"/>
          <w:lang w:eastAsia="en-GB"/>
        </w:rPr>
        <w:t xml:space="preserve"> a</w:t>
      </w:r>
      <w:r w:rsidRPr="00F80F8C">
        <w:rPr>
          <w:rFonts w:ascii="Calibri" w:eastAsia="Times New Roman" w:hAnsi="Calibri" w:cs="Calibri"/>
          <w:lang w:eastAsia="en-GB"/>
        </w:rPr>
        <w:t xml:space="preserve"> learner</w:t>
      </w:r>
      <w:r w:rsidR="0019702E">
        <w:rPr>
          <w:rFonts w:ascii="Calibri" w:eastAsia="Times New Roman" w:hAnsi="Calibri" w:cs="Calibri"/>
          <w:lang w:eastAsia="en-GB"/>
        </w:rPr>
        <w:t>’</w:t>
      </w:r>
      <w:r w:rsidRPr="00F80F8C">
        <w:rPr>
          <w:rFonts w:ascii="Calibri" w:eastAsia="Times New Roman" w:hAnsi="Calibri" w:cs="Calibri"/>
          <w:lang w:eastAsia="en-GB"/>
        </w:rPr>
        <w:t>s eligibility. </w:t>
      </w:r>
    </w:p>
    <w:p w14:paraId="739ADC3A" w14:textId="4C474578" w:rsidR="00BE7E61" w:rsidRPr="00F80F8C" w:rsidRDefault="1EEAD22F" w:rsidP="00F80F8C">
      <w:pPr>
        <w:pStyle w:val="ListParagraph"/>
        <w:numPr>
          <w:ilvl w:val="0"/>
          <w:numId w:val="11"/>
        </w:numPr>
        <w:rPr>
          <w:rFonts w:ascii="Segoe UI" w:eastAsia="Times New Roman" w:hAnsi="Segoe UI" w:cs="Segoe UI"/>
          <w:sz w:val="18"/>
          <w:szCs w:val="18"/>
          <w:lang w:eastAsia="en-GB"/>
        </w:rPr>
      </w:pPr>
      <w:r w:rsidRPr="27734720">
        <w:rPr>
          <w:rFonts w:ascii="Calibri" w:eastAsia="Times New Roman" w:hAnsi="Calibri" w:cs="Calibri"/>
          <w:lang w:eastAsia="en-GB"/>
        </w:rPr>
        <w:t xml:space="preserve">You </w:t>
      </w:r>
      <w:r w:rsidR="405EAC7E" w:rsidRPr="27734720">
        <w:rPr>
          <w:rFonts w:ascii="Calibri" w:eastAsia="Times New Roman" w:hAnsi="Calibri" w:cs="Calibri"/>
          <w:lang w:eastAsia="en-GB"/>
        </w:rPr>
        <w:t xml:space="preserve">will need to have clear records in place which </w:t>
      </w:r>
      <w:r w:rsidRPr="27734720">
        <w:rPr>
          <w:rFonts w:ascii="Calibri" w:eastAsia="Times New Roman" w:hAnsi="Calibri" w:cs="Calibri"/>
          <w:lang w:eastAsia="en-GB"/>
        </w:rPr>
        <w:t>we</w:t>
      </w:r>
      <w:r w:rsidR="405EAC7E" w:rsidRPr="27734720">
        <w:rPr>
          <w:rFonts w:ascii="Calibri" w:eastAsia="Times New Roman" w:hAnsi="Calibri" w:cs="Calibri"/>
          <w:lang w:eastAsia="en-GB"/>
        </w:rPr>
        <w:t xml:space="preserve"> may </w:t>
      </w:r>
      <w:r w:rsidR="11166B56" w:rsidRPr="27734720">
        <w:rPr>
          <w:rFonts w:ascii="Calibri" w:eastAsia="Times New Roman" w:hAnsi="Calibri" w:cs="Calibri"/>
          <w:lang w:eastAsia="en-GB"/>
        </w:rPr>
        <w:t xml:space="preserve">request and </w:t>
      </w:r>
      <w:r w:rsidR="405EAC7E" w:rsidRPr="27734720">
        <w:rPr>
          <w:rFonts w:ascii="Calibri" w:eastAsia="Times New Roman" w:hAnsi="Calibri" w:cs="Calibri"/>
          <w:lang w:eastAsia="en-GB"/>
        </w:rPr>
        <w:t xml:space="preserve">review as part of any </w:t>
      </w:r>
      <w:r w:rsidRPr="27734720">
        <w:rPr>
          <w:rFonts w:ascii="Calibri" w:eastAsia="Times New Roman" w:hAnsi="Calibri" w:cs="Calibri"/>
          <w:lang w:eastAsia="en-GB"/>
        </w:rPr>
        <w:t xml:space="preserve">external </w:t>
      </w:r>
      <w:r w:rsidR="405EAC7E" w:rsidRPr="27734720">
        <w:rPr>
          <w:rFonts w:ascii="Calibri" w:eastAsia="Times New Roman" w:hAnsi="Calibri" w:cs="Calibri"/>
          <w:lang w:eastAsia="en-GB"/>
        </w:rPr>
        <w:t>quality assurance process to provide reassurance that the learners selected are eligible and any outcomes are robust and a true reflection of the learner’s likely achievement </w:t>
      </w:r>
    </w:p>
    <w:p w14:paraId="4E0C0262" w14:textId="10F559EF" w:rsidR="00BE7E61" w:rsidRPr="00BE7E61" w:rsidRDefault="00BE7E61" w:rsidP="00BE7E61">
      <w:pPr>
        <w:pStyle w:val="Heading2"/>
        <w:rPr>
          <w:rFonts w:eastAsia="Times New Roman"/>
          <w:lang w:eastAsia="en-GB"/>
        </w:rPr>
      </w:pPr>
      <w:r>
        <w:rPr>
          <w:rFonts w:eastAsia="Times New Roman"/>
          <w:lang w:eastAsia="en-GB"/>
        </w:rPr>
        <w:t>Guidance on evidence</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55"/>
        <w:gridCol w:w="4545"/>
      </w:tblGrid>
      <w:tr w:rsidR="00746E0C" w:rsidRPr="00746E0C" w14:paraId="63C9EFAB" w14:textId="77777777" w:rsidTr="0019702E">
        <w:tc>
          <w:tcPr>
            <w:tcW w:w="4455" w:type="dxa"/>
            <w:tcBorders>
              <w:top w:val="single" w:sz="6" w:space="0" w:color="auto"/>
              <w:left w:val="single" w:sz="6" w:space="0" w:color="auto"/>
              <w:bottom w:val="single" w:sz="6" w:space="0" w:color="auto"/>
              <w:right w:val="single" w:sz="6" w:space="0" w:color="auto"/>
            </w:tcBorders>
            <w:shd w:val="clear" w:color="auto" w:fill="FFFFFF"/>
            <w:hideMark/>
          </w:tcPr>
          <w:p w14:paraId="16810076" w14:textId="77777777" w:rsidR="00746E0C" w:rsidRPr="00746E0C" w:rsidRDefault="00746E0C" w:rsidP="00BE7E61">
            <w:pPr>
              <w:pStyle w:val="Heading3"/>
              <w:rPr>
                <w:rFonts w:ascii="Times New Roman" w:eastAsia="Times New Roman" w:hAnsi="Times New Roman" w:cs="Times New Roman"/>
                <w:lang w:eastAsia="en-GB"/>
              </w:rPr>
            </w:pPr>
            <w:r w:rsidRPr="00746E0C">
              <w:rPr>
                <w:rFonts w:eastAsia="Times New Roman"/>
                <w:lang w:eastAsia="en-GB"/>
              </w:rPr>
              <w:t>Requirements </w:t>
            </w:r>
          </w:p>
        </w:tc>
        <w:tc>
          <w:tcPr>
            <w:tcW w:w="4545" w:type="dxa"/>
            <w:tcBorders>
              <w:top w:val="single" w:sz="6" w:space="0" w:color="auto"/>
              <w:left w:val="nil"/>
              <w:bottom w:val="single" w:sz="6" w:space="0" w:color="auto"/>
              <w:right w:val="single" w:sz="6" w:space="0" w:color="auto"/>
            </w:tcBorders>
            <w:shd w:val="clear" w:color="auto" w:fill="FFFFFF"/>
            <w:hideMark/>
          </w:tcPr>
          <w:p w14:paraId="6DFB7BD1" w14:textId="1E631581" w:rsidR="00746E0C" w:rsidRPr="00746E0C" w:rsidRDefault="00746E0C" w:rsidP="00BE7E61">
            <w:pPr>
              <w:pStyle w:val="Heading3"/>
              <w:rPr>
                <w:rFonts w:ascii="Times New Roman" w:eastAsia="Times New Roman" w:hAnsi="Times New Roman" w:cs="Times New Roman"/>
                <w:lang w:eastAsia="en-GB"/>
              </w:rPr>
            </w:pPr>
            <w:r w:rsidRPr="00746E0C">
              <w:rPr>
                <w:rFonts w:eastAsia="Times New Roman"/>
                <w:lang w:eastAsia="en-GB"/>
              </w:rPr>
              <w:t>Evidence to support </w:t>
            </w:r>
            <w:r w:rsidR="00BE7E61">
              <w:rPr>
                <w:rFonts w:eastAsia="Times New Roman"/>
                <w:lang w:eastAsia="en-GB"/>
              </w:rPr>
              <w:t>CDG</w:t>
            </w:r>
            <w:r w:rsidRPr="00746E0C">
              <w:rPr>
                <w:rFonts w:eastAsia="Times New Roman"/>
                <w:lang w:eastAsia="en-GB"/>
              </w:rPr>
              <w:t>  </w:t>
            </w:r>
          </w:p>
        </w:tc>
      </w:tr>
      <w:tr w:rsidR="00746E0C" w:rsidRPr="00746E0C" w14:paraId="299EAE07" w14:textId="77777777" w:rsidTr="0019702E">
        <w:tc>
          <w:tcPr>
            <w:tcW w:w="4455" w:type="dxa"/>
            <w:tcBorders>
              <w:top w:val="nil"/>
              <w:left w:val="single" w:sz="6" w:space="0" w:color="auto"/>
              <w:bottom w:val="single" w:sz="6" w:space="0" w:color="auto"/>
              <w:right w:val="single" w:sz="6" w:space="0" w:color="auto"/>
            </w:tcBorders>
            <w:shd w:val="clear" w:color="auto" w:fill="FFFFFF"/>
            <w:hideMark/>
          </w:tcPr>
          <w:p w14:paraId="65D2E609" w14:textId="0B1890C2" w:rsidR="00746E0C" w:rsidRPr="00746E0C" w:rsidRDefault="00746E0C" w:rsidP="00746E0C">
            <w:pPr>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t>Learner </w:t>
            </w:r>
            <w:r w:rsidRPr="00746E0C">
              <w:rPr>
                <w:rFonts w:ascii="Calibri" w:eastAsia="Times New Roman" w:hAnsi="Calibri" w:cs="Calibri"/>
                <w:b/>
                <w:bCs/>
                <w:color w:val="201F1E"/>
                <w:lang w:eastAsia="en-GB"/>
              </w:rPr>
              <w:t>must</w:t>
            </w:r>
            <w:r w:rsidR="0019702E">
              <w:rPr>
                <w:rFonts w:ascii="Calibri" w:eastAsia="Times New Roman" w:hAnsi="Calibri" w:cs="Calibri"/>
                <w:color w:val="201F1E"/>
                <w:lang w:eastAsia="en-GB"/>
              </w:rPr>
              <w:t>:</w:t>
            </w:r>
            <w:r w:rsidRPr="00746E0C">
              <w:rPr>
                <w:rFonts w:ascii="Calibri" w:eastAsia="Times New Roman" w:hAnsi="Calibri" w:cs="Calibri"/>
                <w:color w:val="201F1E"/>
                <w:lang w:eastAsia="en-GB"/>
              </w:rPr>
              <w:t>  </w:t>
            </w:r>
          </w:p>
          <w:p w14:paraId="66CFE00D" w14:textId="18AA3653" w:rsidR="00746E0C" w:rsidRPr="00BE7E61" w:rsidRDefault="0019702E" w:rsidP="00BE7E61">
            <w:pPr>
              <w:pStyle w:val="ListParagraph"/>
              <w:numPr>
                <w:ilvl w:val="0"/>
                <w:numId w:val="8"/>
              </w:numPr>
              <w:spacing w:after="0" w:line="240" w:lineRule="auto"/>
              <w:textAlignment w:val="baseline"/>
              <w:rPr>
                <w:rFonts w:ascii="Calibri" w:eastAsia="Times New Roman" w:hAnsi="Calibri" w:cs="Calibri"/>
                <w:lang w:eastAsia="en-GB"/>
              </w:rPr>
            </w:pPr>
            <w:r>
              <w:rPr>
                <w:rFonts w:ascii="Calibri" w:eastAsia="Times New Roman" w:hAnsi="Calibri" w:cs="Calibri"/>
                <w:color w:val="201F1E"/>
                <w:lang w:eastAsia="en-GB"/>
              </w:rPr>
              <w:t xml:space="preserve">have </w:t>
            </w:r>
            <w:r w:rsidR="00746E0C" w:rsidRPr="00BE7E61">
              <w:rPr>
                <w:rFonts w:ascii="Calibri" w:eastAsia="Times New Roman" w:hAnsi="Calibri" w:cs="Calibri"/>
                <w:color w:val="201F1E"/>
                <w:lang w:eastAsia="en-GB"/>
              </w:rPr>
              <w:t>completed learning and  </w:t>
            </w:r>
          </w:p>
          <w:p w14:paraId="4FD34B6E" w14:textId="77777777" w:rsidR="00746E0C" w:rsidRPr="00BE7E61" w:rsidRDefault="00746E0C" w:rsidP="00BE7E61">
            <w:pPr>
              <w:pStyle w:val="ListParagraph"/>
              <w:numPr>
                <w:ilvl w:val="0"/>
                <w:numId w:val="8"/>
              </w:numPr>
              <w:spacing w:after="0" w:line="240" w:lineRule="auto"/>
              <w:textAlignment w:val="baseline"/>
              <w:rPr>
                <w:rFonts w:ascii="Calibri" w:eastAsia="Times New Roman" w:hAnsi="Calibri" w:cs="Calibri"/>
                <w:lang w:eastAsia="en-GB"/>
              </w:rPr>
            </w:pPr>
            <w:r w:rsidRPr="00BE7E61">
              <w:rPr>
                <w:rFonts w:ascii="Calibri" w:eastAsia="Times New Roman" w:hAnsi="Calibri" w:cs="Calibri"/>
                <w:color w:val="201F1E"/>
                <w:lang w:eastAsia="en-GB"/>
              </w:rPr>
              <w:t>have clear supporting evidence in place to demonstrate progression and readiness for assessment  </w:t>
            </w:r>
          </w:p>
          <w:p w14:paraId="7801ACB3" w14:textId="77777777" w:rsidR="00746E0C" w:rsidRPr="00BE7E61" w:rsidRDefault="00746E0C" w:rsidP="00BE7E61">
            <w:pPr>
              <w:pStyle w:val="ListParagraph"/>
              <w:numPr>
                <w:ilvl w:val="0"/>
                <w:numId w:val="8"/>
              </w:numPr>
              <w:spacing w:after="0" w:line="240" w:lineRule="auto"/>
              <w:textAlignment w:val="baseline"/>
              <w:rPr>
                <w:rFonts w:ascii="Calibri" w:eastAsia="Times New Roman" w:hAnsi="Calibri" w:cs="Calibri"/>
                <w:lang w:eastAsia="en-GB"/>
              </w:rPr>
            </w:pPr>
            <w:r w:rsidRPr="00BE7E61">
              <w:rPr>
                <w:rFonts w:ascii="Calibri" w:eastAsia="Times New Roman" w:hAnsi="Calibri" w:cs="Calibri"/>
                <w:color w:val="201F1E"/>
                <w:lang w:eastAsia="en-GB"/>
              </w:rPr>
              <w:t>be due to complete during the submission period </w:t>
            </w:r>
          </w:p>
        </w:tc>
        <w:tc>
          <w:tcPr>
            <w:tcW w:w="4545" w:type="dxa"/>
            <w:tcBorders>
              <w:top w:val="nil"/>
              <w:left w:val="nil"/>
              <w:bottom w:val="single" w:sz="6" w:space="0" w:color="auto"/>
              <w:right w:val="single" w:sz="6" w:space="0" w:color="auto"/>
            </w:tcBorders>
            <w:shd w:val="clear" w:color="auto" w:fill="FFFFFF"/>
            <w:hideMark/>
          </w:tcPr>
          <w:p w14:paraId="734B44E3" w14:textId="77777777" w:rsidR="00746E0C" w:rsidRPr="00BE7E61" w:rsidRDefault="00746E0C" w:rsidP="00BE7E61">
            <w:pPr>
              <w:tabs>
                <w:tab w:val="num" w:pos="360"/>
              </w:tabs>
              <w:spacing w:after="0" w:line="240" w:lineRule="auto"/>
              <w:textAlignment w:val="baseline"/>
              <w:rPr>
                <w:rFonts w:ascii="Times New Roman" w:eastAsia="Times New Roman" w:hAnsi="Times New Roman" w:cs="Times New Roman"/>
                <w:sz w:val="24"/>
                <w:szCs w:val="24"/>
                <w:lang w:eastAsia="en-GB"/>
              </w:rPr>
            </w:pPr>
            <w:r w:rsidRPr="00BE7E61">
              <w:rPr>
                <w:rFonts w:ascii="Calibri" w:eastAsia="Times New Roman" w:hAnsi="Calibri" w:cs="Calibri"/>
                <w:color w:val="201F1E"/>
                <w:lang w:eastAsia="en-GB"/>
              </w:rPr>
              <w:t>IRL data. Tracking of learner progress to demonstrate the learner’s journey and readiness for assessment </w:t>
            </w:r>
          </w:p>
        </w:tc>
      </w:tr>
      <w:tr w:rsidR="00746E0C" w:rsidRPr="00746E0C" w14:paraId="02F1C356" w14:textId="77777777" w:rsidTr="0019702E">
        <w:tc>
          <w:tcPr>
            <w:tcW w:w="4455" w:type="dxa"/>
            <w:tcBorders>
              <w:top w:val="nil"/>
              <w:left w:val="single" w:sz="6" w:space="0" w:color="auto"/>
              <w:bottom w:val="single" w:sz="6" w:space="0" w:color="auto"/>
              <w:right w:val="single" w:sz="6" w:space="0" w:color="auto"/>
            </w:tcBorders>
            <w:shd w:val="clear" w:color="auto" w:fill="FFFFFF"/>
            <w:hideMark/>
          </w:tcPr>
          <w:p w14:paraId="47871C3B" w14:textId="77777777" w:rsidR="00746E0C" w:rsidRPr="00746E0C" w:rsidRDefault="00746E0C" w:rsidP="00746E0C">
            <w:pPr>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t>Centre </w:t>
            </w:r>
            <w:r w:rsidRPr="00746E0C">
              <w:rPr>
                <w:rFonts w:ascii="Calibri" w:eastAsia="Times New Roman" w:hAnsi="Calibri" w:cs="Calibri"/>
                <w:b/>
                <w:bCs/>
                <w:color w:val="201F1E"/>
                <w:lang w:eastAsia="en-GB"/>
              </w:rPr>
              <w:t>must</w:t>
            </w:r>
            <w:r w:rsidRPr="00746E0C">
              <w:rPr>
                <w:rFonts w:ascii="Calibri" w:eastAsia="Times New Roman" w:hAnsi="Calibri" w:cs="Calibri"/>
                <w:color w:val="201F1E"/>
                <w:lang w:eastAsia="en-GB"/>
              </w:rPr>
              <w:t> have a body of evidence that a teacher can use to form the basis of their judgement  </w:t>
            </w:r>
          </w:p>
        </w:tc>
        <w:tc>
          <w:tcPr>
            <w:tcW w:w="4545" w:type="dxa"/>
            <w:tcBorders>
              <w:top w:val="nil"/>
              <w:left w:val="nil"/>
              <w:bottom w:val="single" w:sz="6" w:space="0" w:color="auto"/>
              <w:right w:val="single" w:sz="6" w:space="0" w:color="auto"/>
            </w:tcBorders>
            <w:shd w:val="clear" w:color="auto" w:fill="FFFFFF"/>
            <w:hideMark/>
          </w:tcPr>
          <w:p w14:paraId="2552ED89" w14:textId="77777777" w:rsidR="00746E0C" w:rsidRPr="00746E0C" w:rsidRDefault="00746E0C" w:rsidP="00BE7E61">
            <w:pPr>
              <w:tabs>
                <w:tab w:val="num" w:pos="360"/>
              </w:tabs>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b/>
                <w:bCs/>
                <w:color w:val="201F1E"/>
                <w:lang w:eastAsia="en-GB"/>
              </w:rPr>
              <w:t>Recommended evidence</w:t>
            </w:r>
            <w:r w:rsidRPr="00746E0C">
              <w:rPr>
                <w:rFonts w:ascii="Calibri" w:eastAsia="Times New Roman" w:hAnsi="Calibri" w:cs="Calibri"/>
                <w:color w:val="201F1E"/>
                <w:lang w:eastAsia="en-GB"/>
              </w:rPr>
              <w:t> includes, but not be limited to: </w:t>
            </w:r>
          </w:p>
          <w:p w14:paraId="796F5C09" w14:textId="01AA1D4D" w:rsidR="00746E0C" w:rsidRPr="00BE7E61" w:rsidRDefault="00746E0C" w:rsidP="00BE7E61">
            <w:pPr>
              <w:pStyle w:val="ListParagraph"/>
              <w:numPr>
                <w:ilvl w:val="0"/>
                <w:numId w:val="9"/>
              </w:numPr>
              <w:spacing w:after="0" w:line="240" w:lineRule="auto"/>
              <w:textAlignment w:val="baseline"/>
              <w:rPr>
                <w:rFonts w:ascii="Calibri" w:eastAsia="Times New Roman" w:hAnsi="Calibri" w:cs="Calibri"/>
                <w:lang w:eastAsia="en-GB"/>
              </w:rPr>
            </w:pPr>
            <w:r w:rsidRPr="00BE7E61">
              <w:rPr>
                <w:rFonts w:ascii="Calibri" w:eastAsia="Times New Roman" w:hAnsi="Calibri" w:cs="Calibri"/>
                <w:color w:val="201F1E"/>
                <w:lang w:eastAsia="en-GB"/>
              </w:rPr>
              <w:t xml:space="preserve">Completed sample/past paper </w:t>
            </w:r>
            <w:r w:rsidR="0019702E">
              <w:rPr>
                <w:rFonts w:ascii="Calibri" w:eastAsia="Times New Roman" w:hAnsi="Calibri" w:cs="Calibri"/>
                <w:color w:val="201F1E"/>
                <w:lang w:eastAsia="en-GB"/>
              </w:rPr>
              <w:t>taken</w:t>
            </w:r>
            <w:r w:rsidRPr="00BE7E61">
              <w:rPr>
                <w:rFonts w:ascii="Calibri" w:eastAsia="Times New Roman" w:hAnsi="Calibri" w:cs="Calibri"/>
                <w:color w:val="201F1E"/>
                <w:lang w:eastAsia="en-GB"/>
              </w:rPr>
              <w:t xml:space="preserve"> as a mock test including the conditions the mock was taken under </w:t>
            </w:r>
          </w:p>
          <w:p w14:paraId="402AB91C" w14:textId="77777777" w:rsidR="00746E0C" w:rsidRPr="00BE7E61" w:rsidRDefault="00746E0C" w:rsidP="00BE7E61">
            <w:pPr>
              <w:pStyle w:val="ListParagraph"/>
              <w:numPr>
                <w:ilvl w:val="0"/>
                <w:numId w:val="9"/>
              </w:numPr>
              <w:spacing w:after="0" w:line="240" w:lineRule="auto"/>
              <w:textAlignment w:val="baseline"/>
              <w:rPr>
                <w:rFonts w:ascii="Calibri" w:eastAsia="Times New Roman" w:hAnsi="Calibri" w:cs="Calibri"/>
                <w:lang w:eastAsia="en-GB"/>
              </w:rPr>
            </w:pPr>
            <w:r w:rsidRPr="00BE7E61">
              <w:rPr>
                <w:rFonts w:ascii="Calibri" w:eastAsia="Times New Roman" w:hAnsi="Calibri" w:cs="Calibri"/>
                <w:color w:val="000000"/>
                <w:lang w:eastAsia="en-GB"/>
              </w:rPr>
              <w:t>Formative assessment results </w:t>
            </w:r>
          </w:p>
          <w:p w14:paraId="420C3A1E" w14:textId="77777777" w:rsidR="00746E0C" w:rsidRPr="00BE7E61" w:rsidRDefault="00746E0C" w:rsidP="00BE7E61">
            <w:pPr>
              <w:pStyle w:val="ListParagraph"/>
              <w:numPr>
                <w:ilvl w:val="0"/>
                <w:numId w:val="9"/>
              </w:numPr>
              <w:spacing w:after="0" w:line="240" w:lineRule="auto"/>
              <w:textAlignment w:val="baseline"/>
              <w:rPr>
                <w:rFonts w:ascii="Calibri" w:eastAsia="Times New Roman" w:hAnsi="Calibri" w:cs="Calibri"/>
                <w:lang w:eastAsia="en-GB"/>
              </w:rPr>
            </w:pPr>
            <w:r w:rsidRPr="00BE7E61">
              <w:rPr>
                <w:rFonts w:ascii="Calibri" w:eastAsia="Times New Roman" w:hAnsi="Calibri" w:cs="Calibri"/>
                <w:color w:val="000000"/>
                <w:lang w:eastAsia="en-GB"/>
              </w:rPr>
              <w:lastRenderedPageBreak/>
              <w:t>IRL data showing progress </w:t>
            </w:r>
          </w:p>
          <w:p w14:paraId="6A1E6DA8" w14:textId="77777777" w:rsidR="00746E0C" w:rsidRPr="00746E0C" w:rsidRDefault="00746E0C" w:rsidP="00BE7E61">
            <w:pPr>
              <w:tabs>
                <w:tab w:val="num" w:pos="360"/>
              </w:tabs>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t> </w:t>
            </w:r>
          </w:p>
          <w:p w14:paraId="2C61C14A" w14:textId="77777777" w:rsidR="00746E0C" w:rsidRPr="00746E0C" w:rsidRDefault="00746E0C" w:rsidP="00BE7E61">
            <w:pPr>
              <w:tabs>
                <w:tab w:val="num" w:pos="360"/>
              </w:tabs>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t>This </w:t>
            </w:r>
            <w:r w:rsidRPr="00746E0C">
              <w:rPr>
                <w:rFonts w:ascii="Calibri" w:eastAsia="Times New Roman" w:hAnsi="Calibri" w:cs="Calibri"/>
                <w:b/>
                <w:bCs/>
                <w:color w:val="201F1E"/>
                <w:lang w:eastAsia="en-GB"/>
              </w:rPr>
              <w:t>must</w:t>
            </w:r>
            <w:r w:rsidRPr="00746E0C">
              <w:rPr>
                <w:rFonts w:ascii="Calibri" w:eastAsia="Times New Roman" w:hAnsi="Calibri" w:cs="Calibri"/>
                <w:color w:val="201F1E"/>
                <w:lang w:eastAsia="en-GB"/>
              </w:rPr>
              <w:t> be further supported by other evidence which may include, but is not limited to: </w:t>
            </w:r>
          </w:p>
          <w:p w14:paraId="3D410601" w14:textId="77777777" w:rsidR="00746E0C" w:rsidRPr="00BE7E61" w:rsidRDefault="00746E0C" w:rsidP="00BE7E61">
            <w:pPr>
              <w:pStyle w:val="ListParagraph"/>
              <w:numPr>
                <w:ilvl w:val="0"/>
                <w:numId w:val="10"/>
              </w:numPr>
              <w:spacing w:after="0" w:line="240" w:lineRule="auto"/>
              <w:textAlignment w:val="baseline"/>
              <w:rPr>
                <w:rFonts w:ascii="Arial" w:eastAsia="Times New Roman" w:hAnsi="Arial" w:cs="Arial"/>
                <w:lang w:eastAsia="en-GB"/>
              </w:rPr>
            </w:pPr>
            <w:r w:rsidRPr="00BE7E61">
              <w:rPr>
                <w:rFonts w:ascii="Calibri" w:eastAsia="Times New Roman" w:hAnsi="Calibri" w:cs="Calibri"/>
                <w:color w:val="000000"/>
                <w:lang w:eastAsia="en-GB"/>
              </w:rPr>
              <w:t>Any other learner work towards the qualification (</w:t>
            </w:r>
            <w:proofErr w:type="spellStart"/>
            <w:r w:rsidRPr="00BE7E61">
              <w:rPr>
                <w:rFonts w:ascii="Calibri" w:eastAsia="Times New Roman" w:hAnsi="Calibri" w:cs="Calibri"/>
                <w:color w:val="000000"/>
                <w:lang w:eastAsia="en-GB"/>
              </w:rPr>
              <w:t>ie</w:t>
            </w:r>
            <w:proofErr w:type="spellEnd"/>
            <w:r w:rsidRPr="00BE7E61">
              <w:rPr>
                <w:rFonts w:ascii="Calibri" w:eastAsia="Times New Roman" w:hAnsi="Calibri" w:cs="Calibri"/>
                <w:color w:val="000000"/>
                <w:lang w:eastAsia="en-GB"/>
              </w:rPr>
              <w:t> work they have independently undertaken in class or at home) </w:t>
            </w:r>
          </w:p>
          <w:p w14:paraId="70BC4D63" w14:textId="2F7E1F27" w:rsidR="00746E0C" w:rsidRPr="0019702E" w:rsidRDefault="00746E0C" w:rsidP="0019702E">
            <w:pPr>
              <w:pStyle w:val="ListParagraph"/>
              <w:numPr>
                <w:ilvl w:val="0"/>
                <w:numId w:val="10"/>
              </w:numPr>
              <w:spacing w:after="0" w:line="240" w:lineRule="auto"/>
              <w:textAlignment w:val="baseline"/>
              <w:rPr>
                <w:rFonts w:ascii="Arial" w:eastAsia="Times New Roman" w:hAnsi="Arial" w:cs="Arial"/>
                <w:lang w:eastAsia="en-GB"/>
              </w:rPr>
            </w:pPr>
            <w:r w:rsidRPr="00BE7E61">
              <w:rPr>
                <w:rFonts w:ascii="Calibri" w:eastAsia="Times New Roman" w:hAnsi="Calibri" w:cs="Calibri"/>
                <w:color w:val="000000"/>
                <w:lang w:eastAsia="en-GB"/>
              </w:rPr>
              <w:t>Learner work demonstrating the skills assessed by FS qualifications that has been completed in support of another qualification learning aim. </w:t>
            </w:r>
          </w:p>
        </w:tc>
      </w:tr>
      <w:tr w:rsidR="00746E0C" w:rsidRPr="00746E0C" w14:paraId="488872D7" w14:textId="77777777" w:rsidTr="0019702E">
        <w:tc>
          <w:tcPr>
            <w:tcW w:w="4455" w:type="dxa"/>
            <w:tcBorders>
              <w:top w:val="nil"/>
              <w:left w:val="single" w:sz="6" w:space="0" w:color="auto"/>
              <w:bottom w:val="single" w:sz="6" w:space="0" w:color="auto"/>
              <w:right w:val="single" w:sz="6" w:space="0" w:color="auto"/>
            </w:tcBorders>
            <w:shd w:val="clear" w:color="auto" w:fill="FFFFFF"/>
            <w:hideMark/>
          </w:tcPr>
          <w:p w14:paraId="0FDF61BC" w14:textId="77777777" w:rsidR="00746E0C" w:rsidRPr="00746E0C" w:rsidRDefault="00746E0C" w:rsidP="00746E0C">
            <w:pPr>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lastRenderedPageBreak/>
              <w:t>Using the evidence, the teacher can confirm that they believe the learner would have </w:t>
            </w:r>
            <w:r w:rsidRPr="00746E0C">
              <w:rPr>
                <w:rFonts w:ascii="Calibri" w:eastAsia="Times New Roman" w:hAnsi="Calibri" w:cs="Calibri"/>
                <w:b/>
                <w:bCs/>
                <w:color w:val="201F1E"/>
                <w:lang w:eastAsia="en-GB"/>
              </w:rPr>
              <w:t>passed/achieved</w:t>
            </w:r>
            <w:r w:rsidRPr="00746E0C">
              <w:rPr>
                <w:rFonts w:ascii="Calibri" w:eastAsia="Times New Roman" w:hAnsi="Calibri" w:cs="Calibri"/>
                <w:color w:val="201F1E"/>
                <w:lang w:eastAsia="en-GB"/>
              </w:rPr>
              <w:t> the assessment </w:t>
            </w:r>
          </w:p>
        </w:tc>
        <w:tc>
          <w:tcPr>
            <w:tcW w:w="4545" w:type="dxa"/>
            <w:tcBorders>
              <w:top w:val="nil"/>
              <w:left w:val="nil"/>
              <w:bottom w:val="single" w:sz="6" w:space="0" w:color="auto"/>
              <w:right w:val="single" w:sz="6" w:space="0" w:color="auto"/>
            </w:tcBorders>
            <w:shd w:val="clear" w:color="auto" w:fill="FFFFFF"/>
            <w:hideMark/>
          </w:tcPr>
          <w:p w14:paraId="07B51237" w14:textId="7E438F04" w:rsidR="00746E0C" w:rsidRPr="00746E0C" w:rsidRDefault="00746E0C" w:rsidP="00BE7E61">
            <w:pPr>
              <w:tabs>
                <w:tab w:val="num" w:pos="360"/>
              </w:tabs>
              <w:spacing w:after="0" w:line="240" w:lineRule="auto"/>
              <w:textAlignment w:val="baseline"/>
              <w:rPr>
                <w:rFonts w:ascii="Times New Roman" w:eastAsia="Times New Roman" w:hAnsi="Times New Roman" w:cs="Times New Roman"/>
                <w:sz w:val="24"/>
                <w:szCs w:val="24"/>
                <w:lang w:eastAsia="en-GB"/>
              </w:rPr>
            </w:pPr>
            <w:r w:rsidRPr="00746E0C">
              <w:rPr>
                <w:rFonts w:ascii="Calibri" w:eastAsia="Times New Roman" w:hAnsi="Calibri" w:cs="Calibri"/>
                <w:color w:val="201F1E"/>
                <w:lang w:eastAsia="en-GB"/>
              </w:rPr>
              <w:t xml:space="preserve">Evidence described above plus declaration </w:t>
            </w:r>
            <w:r w:rsidR="00BE7E61">
              <w:rPr>
                <w:rFonts w:ascii="Calibri" w:eastAsia="Times New Roman" w:hAnsi="Calibri" w:cs="Calibri"/>
                <w:color w:val="201F1E"/>
                <w:lang w:eastAsia="en-GB"/>
              </w:rPr>
              <w:t>from</w:t>
            </w:r>
            <w:r w:rsidRPr="00746E0C">
              <w:rPr>
                <w:rFonts w:ascii="Calibri" w:eastAsia="Times New Roman" w:hAnsi="Calibri" w:cs="Calibri"/>
                <w:color w:val="201F1E"/>
                <w:lang w:eastAsia="en-GB"/>
              </w:rPr>
              <w:t xml:space="preserve"> the teacher to demonstrate how the evidence aligns</w:t>
            </w:r>
            <w:r w:rsidR="0019702E">
              <w:rPr>
                <w:rFonts w:ascii="Calibri" w:eastAsia="Times New Roman" w:hAnsi="Calibri" w:cs="Calibri"/>
                <w:color w:val="201F1E"/>
                <w:lang w:eastAsia="en-GB"/>
              </w:rPr>
              <w:t xml:space="preserve"> with ESNI subject criteria</w:t>
            </w:r>
            <w:r w:rsidRPr="00746E0C">
              <w:rPr>
                <w:rFonts w:ascii="Calibri" w:eastAsia="Times New Roman" w:hAnsi="Calibri" w:cs="Calibri"/>
                <w:color w:val="201F1E"/>
                <w:lang w:eastAsia="en-GB"/>
              </w:rPr>
              <w:t>. </w:t>
            </w:r>
          </w:p>
        </w:tc>
      </w:tr>
    </w:tbl>
    <w:p w14:paraId="35AA780D" w14:textId="77777777" w:rsidR="00746E0C" w:rsidRPr="00746E0C" w:rsidRDefault="00746E0C" w:rsidP="00746E0C">
      <w:pPr>
        <w:shd w:val="clear" w:color="auto" w:fill="FFFFFF"/>
        <w:spacing w:after="0" w:line="240" w:lineRule="auto"/>
        <w:textAlignment w:val="baseline"/>
        <w:rPr>
          <w:rFonts w:ascii="Segoe UI" w:eastAsia="Times New Roman" w:hAnsi="Segoe UI" w:cs="Segoe UI"/>
          <w:sz w:val="18"/>
          <w:szCs w:val="18"/>
          <w:lang w:eastAsia="en-GB"/>
        </w:rPr>
      </w:pPr>
      <w:r w:rsidRPr="00746E0C">
        <w:rPr>
          <w:rFonts w:ascii="Calibri" w:eastAsia="Times New Roman" w:hAnsi="Calibri" w:cs="Calibri"/>
          <w:color w:val="201F1E"/>
          <w:lang w:eastAsia="en-GB"/>
        </w:rPr>
        <w:t>  </w:t>
      </w:r>
    </w:p>
    <w:p w14:paraId="1DE0877A" w14:textId="528F2CF3" w:rsidR="00F80F8C" w:rsidRPr="00746E0C" w:rsidRDefault="00746E0C" w:rsidP="00F80F8C">
      <w:pPr>
        <w:rPr>
          <w:lang w:eastAsia="en-GB"/>
        </w:rPr>
      </w:pPr>
      <w:r w:rsidRPr="00746E0C">
        <w:rPr>
          <w:lang w:eastAsia="en-GB"/>
        </w:rPr>
        <w:t>While the use of a past/sample paper is not mandated</w:t>
      </w:r>
      <w:r w:rsidR="00F80F8C">
        <w:rPr>
          <w:lang w:eastAsia="en-GB"/>
        </w:rPr>
        <w:t>, we</w:t>
      </w:r>
      <w:r w:rsidRPr="00746E0C">
        <w:rPr>
          <w:lang w:eastAsia="en-GB"/>
        </w:rPr>
        <w:t xml:space="preserve"> </w:t>
      </w:r>
      <w:r w:rsidRPr="00F80F8C">
        <w:rPr>
          <w:b/>
          <w:bCs/>
          <w:lang w:eastAsia="en-GB"/>
        </w:rPr>
        <w:t>highly recommend</w:t>
      </w:r>
      <w:r w:rsidRPr="00746E0C">
        <w:rPr>
          <w:lang w:eastAsia="en-GB"/>
        </w:rPr>
        <w:t xml:space="preserve"> the use of this material as a key part of any supporting evidence as these tests have been produced by </w:t>
      </w:r>
      <w:r w:rsidR="00F80F8C">
        <w:rPr>
          <w:lang w:eastAsia="en-GB"/>
        </w:rPr>
        <w:t>Pearson</w:t>
      </w:r>
      <w:r w:rsidRPr="00746E0C">
        <w:rPr>
          <w:lang w:eastAsia="en-GB"/>
        </w:rPr>
        <w:t> and are therefore seen as a standardised source of evidence. </w:t>
      </w:r>
      <w:r w:rsidR="00F80F8C">
        <w:rPr>
          <w:lang w:eastAsia="en-GB"/>
        </w:rPr>
        <w:t xml:space="preserve">We have made one of our past papers available for </w:t>
      </w:r>
      <w:r w:rsidR="0019702E">
        <w:rPr>
          <w:lang w:eastAsia="en-GB"/>
        </w:rPr>
        <w:t xml:space="preserve">centres to </w:t>
      </w:r>
      <w:r w:rsidR="00F80F8C">
        <w:rPr>
          <w:lang w:eastAsia="en-GB"/>
        </w:rPr>
        <w:t>use as part of this process.</w:t>
      </w:r>
    </w:p>
    <w:p w14:paraId="23720592" w14:textId="329B82CB" w:rsidR="00746E0C" w:rsidRPr="00746E0C" w:rsidRDefault="00F80F8C" w:rsidP="00F80F8C">
      <w:pPr>
        <w:pStyle w:val="Heading3"/>
        <w:rPr>
          <w:rFonts w:ascii="Segoe UI" w:eastAsia="Times New Roman" w:hAnsi="Segoe UI" w:cs="Segoe UI"/>
          <w:sz w:val="18"/>
          <w:szCs w:val="18"/>
          <w:lang w:eastAsia="en-GB"/>
        </w:rPr>
      </w:pPr>
      <w:r>
        <w:rPr>
          <w:rFonts w:eastAsia="Times New Roman"/>
          <w:lang w:eastAsia="en-GB"/>
        </w:rPr>
        <w:t xml:space="preserve">Head of </w:t>
      </w:r>
      <w:r w:rsidR="00746E0C" w:rsidRPr="00746E0C">
        <w:rPr>
          <w:rFonts w:eastAsia="Times New Roman"/>
          <w:lang w:eastAsia="en-GB"/>
        </w:rPr>
        <w:t>Centre declaration </w:t>
      </w:r>
    </w:p>
    <w:p w14:paraId="684C6CC8" w14:textId="7D6F2C78" w:rsidR="00746E0C" w:rsidRPr="00746E0C" w:rsidRDefault="00F80F8C" w:rsidP="00F80F8C">
      <w:pPr>
        <w:rPr>
          <w:rFonts w:ascii="Segoe UI" w:hAnsi="Segoe UI" w:cs="Segoe UI"/>
          <w:sz w:val="18"/>
          <w:szCs w:val="18"/>
          <w:lang w:eastAsia="en-GB"/>
        </w:rPr>
      </w:pPr>
      <w:r>
        <w:rPr>
          <w:lang w:eastAsia="en-GB"/>
        </w:rPr>
        <w:t>You</w:t>
      </w:r>
      <w:r w:rsidR="00746E0C" w:rsidRPr="00746E0C">
        <w:rPr>
          <w:lang w:eastAsia="en-GB"/>
        </w:rPr>
        <w:t xml:space="preserve"> </w:t>
      </w:r>
      <w:r>
        <w:rPr>
          <w:lang w:eastAsia="en-GB"/>
        </w:rPr>
        <w:t>will</w:t>
      </w:r>
      <w:r w:rsidR="00746E0C" w:rsidRPr="00746E0C">
        <w:rPr>
          <w:lang w:eastAsia="en-GB"/>
        </w:rPr>
        <w:t xml:space="preserve"> need to complete a robust Internal Quality Assurance (IQA) process</w:t>
      </w:r>
      <w:r>
        <w:rPr>
          <w:lang w:eastAsia="en-GB"/>
        </w:rPr>
        <w:t>,</w:t>
      </w:r>
      <w:r w:rsidR="00746E0C" w:rsidRPr="00746E0C">
        <w:rPr>
          <w:lang w:eastAsia="en-GB"/>
        </w:rPr>
        <w:t xml:space="preserve"> in line with </w:t>
      </w:r>
      <w:r>
        <w:rPr>
          <w:lang w:eastAsia="en-GB"/>
        </w:rPr>
        <w:t xml:space="preserve">our normal </w:t>
      </w:r>
      <w:r w:rsidR="00746E0C" w:rsidRPr="00746E0C">
        <w:rPr>
          <w:lang w:eastAsia="en-GB"/>
        </w:rPr>
        <w:t>practices</w:t>
      </w:r>
      <w:r>
        <w:rPr>
          <w:lang w:eastAsia="en-GB"/>
        </w:rPr>
        <w:t>,</w:t>
      </w:r>
      <w:r w:rsidR="00746E0C" w:rsidRPr="00746E0C">
        <w:rPr>
          <w:lang w:eastAsia="en-GB"/>
        </w:rPr>
        <w:t xml:space="preserve"> to demonstrate that all learners put forward have been scrutinised carefully and all submissions have been verified before they are submitted. The centre declaration must include a clear record of the evidence used to arrive at the final decision for each learner. </w:t>
      </w:r>
    </w:p>
    <w:p w14:paraId="56F61E14" w14:textId="77777777" w:rsidR="00746E0C" w:rsidRPr="00746E0C" w:rsidRDefault="00746E0C" w:rsidP="00F80F8C">
      <w:pPr>
        <w:rPr>
          <w:rFonts w:ascii="Segoe UI" w:hAnsi="Segoe UI" w:cs="Segoe UI"/>
          <w:sz w:val="18"/>
          <w:szCs w:val="18"/>
          <w:lang w:eastAsia="en-GB"/>
        </w:rPr>
      </w:pPr>
      <w:r w:rsidRPr="00746E0C">
        <w:rPr>
          <w:lang w:eastAsia="en-GB"/>
        </w:rPr>
        <w:t>The Head of Centre must also confirm they are satisfied that all submissions are correct and accurately reflect the expected outcome for the learners included in any submission. </w:t>
      </w:r>
    </w:p>
    <w:p w14:paraId="3AECD4E9" w14:textId="4120ED57" w:rsidR="00746E0C" w:rsidRPr="00746E0C" w:rsidRDefault="23083058" w:rsidP="27734720">
      <w:pPr>
        <w:rPr>
          <w:lang w:eastAsia="en-GB"/>
        </w:rPr>
      </w:pPr>
      <w:r w:rsidRPr="27734720">
        <w:rPr>
          <w:lang w:eastAsia="en-GB"/>
        </w:rPr>
        <w:t xml:space="preserve">We are planning to run the CDG process in a number of set ‘windows’ with results released towards the end of each window. </w:t>
      </w:r>
      <w:r w:rsidR="405EAC7E" w:rsidRPr="27734720">
        <w:rPr>
          <w:lang w:eastAsia="en-GB"/>
        </w:rPr>
        <w:t xml:space="preserve">A separate declaration will be required within </w:t>
      </w:r>
      <w:r w:rsidR="3F01E645" w:rsidRPr="27734720">
        <w:rPr>
          <w:lang w:eastAsia="en-GB"/>
        </w:rPr>
        <w:t>each window</w:t>
      </w:r>
      <w:r w:rsidR="405EAC7E" w:rsidRPr="27734720">
        <w:rPr>
          <w:lang w:eastAsia="en-GB"/>
        </w:rPr>
        <w:t> to cover all submissions made during that period.  </w:t>
      </w:r>
      <w:r w:rsidR="34B65329" w:rsidRPr="27734720">
        <w:rPr>
          <w:lang w:eastAsia="en-GB"/>
        </w:rPr>
        <w:t>Further detail on this approach will be provided shortly.</w:t>
      </w:r>
    </w:p>
    <w:p w14:paraId="2AB0BAD9" w14:textId="77777777" w:rsidR="00746E0C" w:rsidRPr="00F80F8C" w:rsidRDefault="00746E0C" w:rsidP="00F80F8C">
      <w:pPr>
        <w:pStyle w:val="Heading3"/>
      </w:pPr>
      <w:r w:rsidRPr="00F80F8C">
        <w:t>Evidence </w:t>
      </w:r>
    </w:p>
    <w:p w14:paraId="26730AE2" w14:textId="77777777" w:rsidR="0019702E" w:rsidRDefault="00F80F8C" w:rsidP="00F80F8C">
      <w:pPr>
        <w:rPr>
          <w:color w:val="201F1E"/>
          <w:lang w:eastAsia="en-GB"/>
        </w:rPr>
      </w:pPr>
      <w:r>
        <w:rPr>
          <w:lang w:eastAsia="en-GB"/>
        </w:rPr>
        <w:t>You</w:t>
      </w:r>
      <w:r w:rsidR="00746E0C" w:rsidRPr="00746E0C">
        <w:rPr>
          <w:lang w:eastAsia="en-GB"/>
        </w:rPr>
        <w:t xml:space="preserve"> must retain the supporting evidence within the centre for use as part of any quality assurance process </w:t>
      </w:r>
      <w:r>
        <w:rPr>
          <w:lang w:eastAsia="en-GB"/>
        </w:rPr>
        <w:t>we</w:t>
      </w:r>
      <w:r w:rsidR="00746E0C" w:rsidRPr="00746E0C">
        <w:rPr>
          <w:lang w:eastAsia="en-GB"/>
        </w:rPr>
        <w:t xml:space="preserve"> may put in place to verify the outcomes for all learners.</w:t>
      </w:r>
      <w:r w:rsidR="00746E0C" w:rsidRPr="00746E0C">
        <w:rPr>
          <w:color w:val="201F1E"/>
          <w:lang w:eastAsia="en-GB"/>
        </w:rPr>
        <w:t> </w:t>
      </w:r>
    </w:p>
    <w:p w14:paraId="58FCE641" w14:textId="1427FAF6" w:rsidR="00746E0C" w:rsidRPr="00746E0C" w:rsidRDefault="00F80F8C" w:rsidP="00F80F8C">
      <w:pPr>
        <w:rPr>
          <w:rFonts w:ascii="Segoe UI" w:hAnsi="Segoe UI" w:cs="Segoe UI"/>
          <w:sz w:val="18"/>
          <w:szCs w:val="18"/>
          <w:lang w:eastAsia="en-GB"/>
        </w:rPr>
      </w:pPr>
      <w:r>
        <w:rPr>
          <w:color w:val="201F1E"/>
          <w:lang w:eastAsia="en-GB"/>
        </w:rPr>
        <w:t>If you decide to make use of the past/sample test materials</w:t>
      </w:r>
      <w:r w:rsidR="0019702E">
        <w:rPr>
          <w:color w:val="201F1E"/>
          <w:lang w:eastAsia="en-GB"/>
        </w:rPr>
        <w:t>, the</w:t>
      </w:r>
      <w:r w:rsidR="00746E0C" w:rsidRPr="00746E0C">
        <w:rPr>
          <w:color w:val="201F1E"/>
          <w:lang w:eastAsia="en-GB"/>
        </w:rPr>
        <w:t xml:space="preserve"> test used must be </w:t>
      </w:r>
      <w:r>
        <w:rPr>
          <w:color w:val="201F1E"/>
          <w:lang w:eastAsia="en-GB"/>
        </w:rPr>
        <w:t>a Pearson</w:t>
      </w:r>
      <w:r w:rsidR="00746E0C" w:rsidRPr="00746E0C">
        <w:rPr>
          <w:color w:val="201F1E"/>
          <w:lang w:eastAsia="en-GB"/>
        </w:rPr>
        <w:t xml:space="preserve"> produced sample, practice or past paper made available for this purpose. While conditions for completing the mock tests are not mandated, </w:t>
      </w:r>
      <w:r>
        <w:rPr>
          <w:color w:val="201F1E"/>
          <w:lang w:eastAsia="en-GB"/>
        </w:rPr>
        <w:t>we</w:t>
      </w:r>
      <w:r w:rsidR="00746E0C" w:rsidRPr="00746E0C">
        <w:rPr>
          <w:color w:val="201F1E"/>
          <w:lang w:eastAsia="en-GB"/>
        </w:rPr>
        <w:t> would expect tests to be completed within the normal duration specified.   </w:t>
      </w:r>
    </w:p>
    <w:p w14:paraId="150C196B" w14:textId="3A7B6045" w:rsidR="0019702E" w:rsidRDefault="00746E0C" w:rsidP="00F80F8C">
      <w:pPr>
        <w:rPr>
          <w:color w:val="201F1E"/>
          <w:lang w:eastAsia="en-GB"/>
        </w:rPr>
      </w:pPr>
      <w:r w:rsidRPr="00746E0C">
        <w:rPr>
          <w:color w:val="201F1E"/>
          <w:lang w:eastAsia="en-GB"/>
        </w:rPr>
        <w:t xml:space="preserve">As test conditions are not mandated it is essential </w:t>
      </w:r>
      <w:r w:rsidR="0019702E" w:rsidRPr="00746E0C">
        <w:rPr>
          <w:color w:val="201F1E"/>
          <w:lang w:eastAsia="en-GB"/>
        </w:rPr>
        <w:t>that</w:t>
      </w:r>
      <w:r w:rsidR="0019702E" w:rsidRPr="0019702E">
        <w:rPr>
          <w:color w:val="201F1E"/>
          <w:lang w:eastAsia="en-GB"/>
        </w:rPr>
        <w:t xml:space="preserve"> centres</w:t>
      </w:r>
      <w:r w:rsidR="0019702E" w:rsidRPr="00746E0C">
        <w:rPr>
          <w:color w:val="201F1E"/>
          <w:lang w:eastAsia="en-GB"/>
        </w:rPr>
        <w:t>:</w:t>
      </w:r>
    </w:p>
    <w:p w14:paraId="729ED71B" w14:textId="050ABA91" w:rsidR="0019702E" w:rsidRPr="0019702E" w:rsidRDefault="00746E0C" w:rsidP="0019702E">
      <w:pPr>
        <w:pStyle w:val="ListParagraph"/>
        <w:numPr>
          <w:ilvl w:val="0"/>
          <w:numId w:val="12"/>
        </w:numPr>
        <w:rPr>
          <w:rFonts w:ascii="Segoe UI" w:hAnsi="Segoe UI" w:cs="Segoe UI"/>
          <w:sz w:val="18"/>
          <w:szCs w:val="18"/>
          <w:lang w:eastAsia="en-GB"/>
        </w:rPr>
      </w:pPr>
      <w:r w:rsidRPr="0019702E">
        <w:rPr>
          <w:color w:val="201F1E"/>
          <w:lang w:eastAsia="en-GB"/>
        </w:rPr>
        <w:t>record the conditions under which mock tests have been completed and </w:t>
      </w:r>
    </w:p>
    <w:p w14:paraId="791A3A21" w14:textId="39FEC28E" w:rsidR="00746E0C" w:rsidRPr="0019702E" w:rsidRDefault="0019702E" w:rsidP="00343DCC">
      <w:pPr>
        <w:pStyle w:val="ListParagraph"/>
        <w:numPr>
          <w:ilvl w:val="0"/>
          <w:numId w:val="12"/>
        </w:numPr>
        <w:rPr>
          <w:rFonts w:ascii="Segoe UI" w:hAnsi="Segoe UI" w:cs="Segoe UI"/>
          <w:sz w:val="18"/>
          <w:szCs w:val="18"/>
          <w:lang w:eastAsia="en-GB"/>
        </w:rPr>
      </w:pPr>
      <w:r>
        <w:rPr>
          <w:color w:val="201F1E"/>
          <w:lang w:eastAsia="en-GB"/>
        </w:rPr>
        <w:t xml:space="preserve">retain </w:t>
      </w:r>
      <w:r w:rsidR="00746E0C" w:rsidRPr="0019702E">
        <w:rPr>
          <w:color w:val="201F1E"/>
          <w:lang w:eastAsia="en-GB"/>
        </w:rPr>
        <w:t>other supporting evidence to corroborate the mock test outcome and provide reassurances of the learner’s overall ability to achieve the qualification and progress.  </w:t>
      </w:r>
    </w:p>
    <w:p w14:paraId="7E35011D" w14:textId="77777777" w:rsidR="00746E0C" w:rsidRPr="00746E0C" w:rsidRDefault="00746E0C" w:rsidP="00F80F8C">
      <w:pPr>
        <w:pStyle w:val="Heading2"/>
        <w:rPr>
          <w:rFonts w:ascii="Segoe UI" w:eastAsia="Times New Roman" w:hAnsi="Segoe UI" w:cs="Segoe UI"/>
          <w:sz w:val="18"/>
          <w:szCs w:val="18"/>
          <w:lang w:eastAsia="en-GB"/>
        </w:rPr>
      </w:pPr>
      <w:r w:rsidRPr="00746E0C">
        <w:rPr>
          <w:rFonts w:eastAsia="Times New Roman"/>
          <w:lang w:eastAsia="en-GB"/>
        </w:rPr>
        <w:t>Internal Quality Assurance </w:t>
      </w:r>
    </w:p>
    <w:p w14:paraId="65C821E8" w14:textId="77777777" w:rsidR="0019702E" w:rsidRDefault="0019702E" w:rsidP="00F80F8C">
      <w:pPr>
        <w:rPr>
          <w:lang w:eastAsia="en-GB"/>
        </w:rPr>
      </w:pPr>
      <w:r>
        <w:rPr>
          <w:lang w:eastAsia="en-GB"/>
        </w:rPr>
        <w:t>We</w:t>
      </w:r>
      <w:r w:rsidR="00746E0C" w:rsidRPr="00746E0C">
        <w:rPr>
          <w:lang w:eastAsia="en-GB"/>
        </w:rPr>
        <w:t> already ha</w:t>
      </w:r>
      <w:r>
        <w:rPr>
          <w:lang w:eastAsia="en-GB"/>
        </w:rPr>
        <w:t>ve</w:t>
      </w:r>
      <w:r w:rsidR="00746E0C" w:rsidRPr="00746E0C">
        <w:rPr>
          <w:lang w:eastAsia="en-GB"/>
        </w:rPr>
        <w:t xml:space="preserve"> in place clearly defined Internal Quality Assurance processes for </w:t>
      </w:r>
      <w:r>
        <w:rPr>
          <w:lang w:eastAsia="en-GB"/>
        </w:rPr>
        <w:t xml:space="preserve">Essential </w:t>
      </w:r>
      <w:r w:rsidR="00746E0C" w:rsidRPr="00746E0C">
        <w:rPr>
          <w:lang w:eastAsia="en-GB"/>
        </w:rPr>
        <w:t xml:space="preserve">Skills elements which are internally assessed and externally verified. Centres should adopt the </w:t>
      </w:r>
      <w:r w:rsidR="00746E0C" w:rsidRPr="00746E0C">
        <w:rPr>
          <w:lang w:eastAsia="en-GB"/>
        </w:rPr>
        <w:lastRenderedPageBreak/>
        <w:t xml:space="preserve">principles of these processes and keep clear records of all internal processes used to arrive at the outcomes produced for each individual learner so they can demonstrate each individual judgement has been verified to ensure the risk of malpractice or unconscious bias is removed. </w:t>
      </w:r>
    </w:p>
    <w:p w14:paraId="7DDACEA4" w14:textId="03B58551" w:rsidR="00746E0C" w:rsidRPr="00746E0C" w:rsidRDefault="0019702E" w:rsidP="00F80F8C">
      <w:pPr>
        <w:rPr>
          <w:rFonts w:ascii="Segoe UI" w:hAnsi="Segoe UI" w:cs="Segoe UI"/>
          <w:sz w:val="18"/>
          <w:szCs w:val="18"/>
          <w:lang w:eastAsia="en-GB"/>
        </w:rPr>
      </w:pPr>
      <w:r>
        <w:rPr>
          <w:lang w:eastAsia="en-GB"/>
        </w:rPr>
        <w:t>You</w:t>
      </w:r>
      <w:r w:rsidR="00746E0C" w:rsidRPr="00746E0C">
        <w:rPr>
          <w:lang w:eastAsia="en-GB"/>
        </w:rPr>
        <w:t xml:space="preserve"> are reminded of the need to ensure suitable supporting evidence is used and retained as it may be requested as part of any external quality assurance process the awarding organisation chooses to adopt. </w:t>
      </w:r>
    </w:p>
    <w:p w14:paraId="4E3673E5" w14:textId="77777777" w:rsidR="00746E0C" w:rsidRPr="00746E0C" w:rsidRDefault="00746E0C" w:rsidP="00F80F8C">
      <w:pPr>
        <w:pStyle w:val="Heading3"/>
        <w:rPr>
          <w:rFonts w:ascii="Segoe UI" w:eastAsia="Times New Roman" w:hAnsi="Segoe UI" w:cs="Segoe UI"/>
          <w:sz w:val="18"/>
          <w:szCs w:val="18"/>
          <w:lang w:eastAsia="en-GB"/>
        </w:rPr>
      </w:pPr>
      <w:r w:rsidRPr="00746E0C">
        <w:rPr>
          <w:rFonts w:eastAsia="Times New Roman"/>
          <w:lang w:eastAsia="en-GB"/>
        </w:rPr>
        <w:t>External Quality Assurance </w:t>
      </w:r>
    </w:p>
    <w:p w14:paraId="6605D9E2" w14:textId="2959A396" w:rsidR="00746E0C" w:rsidRPr="00746E0C" w:rsidRDefault="0019702E" w:rsidP="00F80F8C">
      <w:pPr>
        <w:rPr>
          <w:rFonts w:ascii="Segoe UI" w:hAnsi="Segoe UI" w:cs="Segoe UI"/>
          <w:sz w:val="18"/>
          <w:szCs w:val="18"/>
          <w:lang w:eastAsia="en-GB"/>
        </w:rPr>
      </w:pPr>
      <w:r>
        <w:rPr>
          <w:lang w:eastAsia="en-GB"/>
        </w:rPr>
        <w:t>We</w:t>
      </w:r>
      <w:r w:rsidR="00746E0C" w:rsidRPr="00746E0C">
        <w:rPr>
          <w:lang w:eastAsia="en-GB"/>
        </w:rPr>
        <w:t xml:space="preserve"> will need to be satisfied that </w:t>
      </w:r>
      <w:r>
        <w:rPr>
          <w:lang w:eastAsia="en-GB"/>
        </w:rPr>
        <w:t>your</w:t>
      </w:r>
      <w:r w:rsidR="00746E0C" w:rsidRPr="00746E0C">
        <w:rPr>
          <w:lang w:eastAsia="en-GB"/>
        </w:rPr>
        <w:t xml:space="preserve"> internal process is robust and leads to fair and accurate outcomes for the learners </w:t>
      </w:r>
      <w:r>
        <w:rPr>
          <w:lang w:eastAsia="en-GB"/>
        </w:rPr>
        <w:t>submitte</w:t>
      </w:r>
      <w:r w:rsidR="00372A6D">
        <w:rPr>
          <w:lang w:eastAsia="en-GB"/>
        </w:rPr>
        <w:t>d for a</w:t>
      </w:r>
      <w:r w:rsidR="00746E0C" w:rsidRPr="00746E0C">
        <w:rPr>
          <w:lang w:eastAsia="en-GB"/>
        </w:rPr>
        <w:t xml:space="preserve"> </w:t>
      </w:r>
      <w:r>
        <w:rPr>
          <w:lang w:eastAsia="en-GB"/>
        </w:rPr>
        <w:t>CDG</w:t>
      </w:r>
      <w:r w:rsidR="00746E0C" w:rsidRPr="00746E0C">
        <w:rPr>
          <w:lang w:eastAsia="en-GB"/>
        </w:rPr>
        <w:t xml:space="preserve">. It is vital that </w:t>
      </w:r>
      <w:r w:rsidR="00372A6D">
        <w:rPr>
          <w:lang w:eastAsia="en-GB"/>
        </w:rPr>
        <w:t>you</w:t>
      </w:r>
      <w:r w:rsidR="00746E0C" w:rsidRPr="00746E0C">
        <w:rPr>
          <w:lang w:eastAsia="en-GB"/>
        </w:rPr>
        <w:t xml:space="preserve"> retain all evidence and clear records as </w:t>
      </w:r>
      <w:r w:rsidR="00372A6D">
        <w:rPr>
          <w:lang w:eastAsia="en-GB"/>
        </w:rPr>
        <w:t>we</w:t>
      </w:r>
      <w:r w:rsidR="00746E0C" w:rsidRPr="00746E0C">
        <w:rPr>
          <w:lang w:eastAsia="en-GB"/>
        </w:rPr>
        <w:t> may request access to: </w:t>
      </w:r>
    </w:p>
    <w:p w14:paraId="41BA5633" w14:textId="44205AF0" w:rsidR="00746E0C" w:rsidRPr="00746E0C" w:rsidRDefault="00746E0C" w:rsidP="00F80F8C">
      <w:pPr>
        <w:pStyle w:val="ListParagraph"/>
        <w:numPr>
          <w:ilvl w:val="0"/>
          <w:numId w:val="2"/>
        </w:numPr>
        <w:rPr>
          <w:lang w:eastAsia="en-GB"/>
        </w:rPr>
      </w:pPr>
      <w:r w:rsidRPr="00746E0C">
        <w:rPr>
          <w:lang w:eastAsia="en-GB"/>
        </w:rPr>
        <w:t>All o</w:t>
      </w:r>
      <w:r w:rsidR="00372A6D">
        <w:rPr>
          <w:lang w:eastAsia="en-GB"/>
        </w:rPr>
        <w:t>r</w:t>
      </w:r>
      <w:r w:rsidRPr="00746E0C">
        <w:rPr>
          <w:lang w:eastAsia="en-GB"/>
        </w:rPr>
        <w:t xml:space="preserve"> some of the supporting evidence for all or some of the learners submitted  </w:t>
      </w:r>
    </w:p>
    <w:p w14:paraId="2489BA45" w14:textId="77777777" w:rsidR="00746E0C" w:rsidRPr="00746E0C" w:rsidRDefault="00746E0C" w:rsidP="00F80F8C">
      <w:pPr>
        <w:pStyle w:val="ListParagraph"/>
        <w:numPr>
          <w:ilvl w:val="0"/>
          <w:numId w:val="2"/>
        </w:numPr>
        <w:rPr>
          <w:lang w:eastAsia="en-GB"/>
        </w:rPr>
      </w:pPr>
      <w:r w:rsidRPr="00746E0C">
        <w:rPr>
          <w:lang w:eastAsia="en-GB"/>
        </w:rPr>
        <w:t>All or some of the Individual Learner Records </w:t>
      </w:r>
    </w:p>
    <w:p w14:paraId="52BBB771" w14:textId="77777777" w:rsidR="00746E0C" w:rsidRPr="00746E0C" w:rsidRDefault="00746E0C" w:rsidP="00F80F8C">
      <w:pPr>
        <w:pStyle w:val="ListParagraph"/>
        <w:numPr>
          <w:ilvl w:val="0"/>
          <w:numId w:val="2"/>
        </w:numPr>
        <w:rPr>
          <w:lang w:eastAsia="en-GB"/>
        </w:rPr>
      </w:pPr>
      <w:r w:rsidRPr="00746E0C">
        <w:rPr>
          <w:lang w:eastAsia="en-GB"/>
        </w:rPr>
        <w:t>Records of IQA process and the learner evidence reviewed at each stage </w:t>
      </w:r>
    </w:p>
    <w:p w14:paraId="067943BE" w14:textId="77777777" w:rsidR="00746E0C" w:rsidRPr="00746E0C" w:rsidRDefault="00746E0C" w:rsidP="00F80F8C">
      <w:pPr>
        <w:pStyle w:val="ListParagraph"/>
        <w:numPr>
          <w:ilvl w:val="0"/>
          <w:numId w:val="2"/>
        </w:numPr>
        <w:rPr>
          <w:lang w:eastAsia="en-GB"/>
        </w:rPr>
      </w:pPr>
      <w:r w:rsidRPr="00746E0C">
        <w:rPr>
          <w:lang w:eastAsia="en-GB"/>
        </w:rPr>
        <w:t>Head of Centre declaration of the outcomes </w:t>
      </w:r>
    </w:p>
    <w:p w14:paraId="752893C1" w14:textId="2DC548D3" w:rsidR="00746E0C" w:rsidRPr="00746E0C" w:rsidRDefault="00372A6D" w:rsidP="00F80F8C">
      <w:pPr>
        <w:rPr>
          <w:rFonts w:ascii="Segoe UI" w:hAnsi="Segoe UI" w:cs="Segoe UI"/>
          <w:sz w:val="18"/>
          <w:szCs w:val="18"/>
          <w:lang w:eastAsia="en-GB"/>
        </w:rPr>
      </w:pPr>
      <w:r>
        <w:rPr>
          <w:lang w:eastAsia="en-GB"/>
        </w:rPr>
        <w:t>We</w:t>
      </w:r>
      <w:r w:rsidR="00746E0C" w:rsidRPr="00746E0C">
        <w:rPr>
          <w:lang w:eastAsia="en-GB"/>
        </w:rPr>
        <w:t xml:space="preserve"> may choose to complete an administrative check to ensure that the centre is following its own processes adequately. </w:t>
      </w:r>
      <w:r>
        <w:rPr>
          <w:lang w:eastAsia="en-GB"/>
        </w:rPr>
        <w:t>We m</w:t>
      </w:r>
      <w:r w:rsidR="00746E0C" w:rsidRPr="00746E0C">
        <w:rPr>
          <w:lang w:eastAsia="en-GB"/>
        </w:rPr>
        <w:t>ay choose to extend these checks to review a sample of the evidence used and in extreme cases</w:t>
      </w:r>
      <w:r>
        <w:rPr>
          <w:lang w:eastAsia="en-GB"/>
        </w:rPr>
        <w:t>,</w:t>
      </w:r>
      <w:r w:rsidR="00746E0C" w:rsidRPr="00746E0C">
        <w:rPr>
          <w:lang w:eastAsia="en-GB"/>
        </w:rPr>
        <w:t xml:space="preserve"> where concerns remain, may ask to see all evidence for all learners to provide reassurances of the validity of the outcomes produced. </w:t>
      </w:r>
    </w:p>
    <w:p w14:paraId="30B95B1C" w14:textId="4B14D0DC" w:rsidR="00746E0C" w:rsidRPr="00746E0C" w:rsidRDefault="00372A6D" w:rsidP="00F80F8C">
      <w:pPr>
        <w:rPr>
          <w:rFonts w:ascii="Segoe UI" w:hAnsi="Segoe UI" w:cs="Segoe UI"/>
          <w:sz w:val="18"/>
          <w:szCs w:val="18"/>
          <w:lang w:eastAsia="en-GB"/>
        </w:rPr>
      </w:pPr>
      <w:r>
        <w:rPr>
          <w:lang w:eastAsia="en-GB"/>
        </w:rPr>
        <w:t>We</w:t>
      </w:r>
      <w:r w:rsidR="00746E0C" w:rsidRPr="00746E0C">
        <w:rPr>
          <w:lang w:eastAsia="en-GB"/>
        </w:rPr>
        <w:t xml:space="preserve"> may use all evidence at </w:t>
      </w:r>
      <w:r>
        <w:rPr>
          <w:lang w:eastAsia="en-GB"/>
        </w:rPr>
        <w:t>our</w:t>
      </w:r>
      <w:r w:rsidR="00746E0C" w:rsidRPr="00746E0C">
        <w:rPr>
          <w:lang w:eastAsia="en-GB"/>
        </w:rPr>
        <w:t xml:space="preserve"> disposal to decide on the nature of the checks </w:t>
      </w:r>
      <w:r>
        <w:rPr>
          <w:lang w:eastAsia="en-GB"/>
        </w:rPr>
        <w:t>we carry</w:t>
      </w:r>
      <w:r w:rsidR="00746E0C" w:rsidRPr="00746E0C">
        <w:rPr>
          <w:lang w:eastAsia="en-GB"/>
        </w:rPr>
        <w:t xml:space="preserve"> out for each centre which may vary on a case-by-case basis. </w:t>
      </w:r>
      <w:r>
        <w:rPr>
          <w:lang w:eastAsia="en-GB"/>
        </w:rPr>
        <w:t>We</w:t>
      </w:r>
      <w:r w:rsidR="00746E0C" w:rsidRPr="00746E0C">
        <w:rPr>
          <w:lang w:eastAsia="en-GB"/>
        </w:rPr>
        <w:t xml:space="preserve"> may, for example, choose to increase any sampling in cases where a significant volume of learners is submitted in any given window.  </w:t>
      </w:r>
    </w:p>
    <w:p w14:paraId="507D4F13" w14:textId="77777777" w:rsidR="00372A6D" w:rsidRPr="00746E0C" w:rsidRDefault="00372A6D" w:rsidP="00372A6D">
      <w:pPr>
        <w:rPr>
          <w:rFonts w:ascii="Segoe UI" w:hAnsi="Segoe UI" w:cs="Segoe UI"/>
          <w:sz w:val="18"/>
          <w:szCs w:val="18"/>
          <w:lang w:eastAsia="en-GB"/>
        </w:rPr>
      </w:pPr>
      <w:r>
        <w:rPr>
          <w:lang w:eastAsia="en-GB"/>
        </w:rPr>
        <w:t>We</w:t>
      </w:r>
      <w:r w:rsidRPr="00746E0C">
        <w:rPr>
          <w:lang w:eastAsia="en-GB"/>
        </w:rPr>
        <w:t> </w:t>
      </w:r>
      <w:r>
        <w:rPr>
          <w:lang w:eastAsia="en-GB"/>
        </w:rPr>
        <w:t>do</w:t>
      </w:r>
      <w:r w:rsidRPr="00746E0C">
        <w:rPr>
          <w:lang w:eastAsia="en-GB"/>
        </w:rPr>
        <w:t xml:space="preserve"> not expect </w:t>
      </w:r>
      <w:r>
        <w:rPr>
          <w:lang w:eastAsia="en-GB"/>
        </w:rPr>
        <w:t>you</w:t>
      </w:r>
      <w:r w:rsidRPr="00746E0C">
        <w:rPr>
          <w:lang w:eastAsia="en-GB"/>
        </w:rPr>
        <w:t xml:space="preserve"> to use the </w:t>
      </w:r>
      <w:r>
        <w:rPr>
          <w:lang w:eastAsia="en-GB"/>
        </w:rPr>
        <w:t>CDG approach</w:t>
      </w:r>
      <w:r w:rsidRPr="00746E0C">
        <w:rPr>
          <w:lang w:eastAsia="en-GB"/>
        </w:rPr>
        <w:t xml:space="preserve"> for learners not yet reaching a pass threshold. As part of </w:t>
      </w:r>
      <w:r>
        <w:rPr>
          <w:lang w:eastAsia="en-GB"/>
        </w:rPr>
        <w:t>our</w:t>
      </w:r>
      <w:r w:rsidRPr="00746E0C">
        <w:rPr>
          <w:lang w:eastAsia="en-GB"/>
        </w:rPr>
        <w:t> external quality assurance process </w:t>
      </w:r>
      <w:r>
        <w:rPr>
          <w:lang w:eastAsia="en-GB"/>
        </w:rPr>
        <w:t>we</w:t>
      </w:r>
      <w:r w:rsidRPr="00746E0C">
        <w:rPr>
          <w:lang w:eastAsia="en-GB"/>
        </w:rPr>
        <w:t xml:space="preserve"> may choose to carry out additional checks of data </w:t>
      </w:r>
      <w:r>
        <w:rPr>
          <w:lang w:eastAsia="en-GB"/>
        </w:rPr>
        <w:t>we</w:t>
      </w:r>
      <w:r w:rsidRPr="00746E0C">
        <w:rPr>
          <w:lang w:eastAsia="en-GB"/>
        </w:rPr>
        <w:t xml:space="preserve"> hold for individual centres to satisfy </w:t>
      </w:r>
      <w:r>
        <w:rPr>
          <w:lang w:eastAsia="en-GB"/>
        </w:rPr>
        <w:t>our</w:t>
      </w:r>
      <w:r w:rsidRPr="00746E0C">
        <w:rPr>
          <w:lang w:eastAsia="en-GB"/>
        </w:rPr>
        <w:t>sel</w:t>
      </w:r>
      <w:r>
        <w:rPr>
          <w:lang w:eastAsia="en-GB"/>
        </w:rPr>
        <w:t>ves</w:t>
      </w:r>
      <w:r w:rsidRPr="00746E0C">
        <w:rPr>
          <w:lang w:eastAsia="en-GB"/>
        </w:rPr>
        <w:t xml:space="preserve"> that the volume of learners being submitted is valid. If </w:t>
      </w:r>
      <w:r>
        <w:rPr>
          <w:lang w:eastAsia="en-GB"/>
        </w:rPr>
        <w:t>we have</w:t>
      </w:r>
      <w:r w:rsidRPr="00746E0C">
        <w:rPr>
          <w:lang w:eastAsia="en-GB"/>
        </w:rPr>
        <w:t xml:space="preserve"> any outstanding concerns regarding an individual centre’s </w:t>
      </w:r>
      <w:r>
        <w:rPr>
          <w:lang w:eastAsia="en-GB"/>
        </w:rPr>
        <w:t>CDGs</w:t>
      </w:r>
      <w:r w:rsidRPr="00746E0C">
        <w:rPr>
          <w:lang w:eastAsia="en-GB"/>
        </w:rPr>
        <w:t xml:space="preserve"> </w:t>
      </w:r>
      <w:r>
        <w:rPr>
          <w:lang w:eastAsia="en-GB"/>
        </w:rPr>
        <w:t>we</w:t>
      </w:r>
      <w:r w:rsidRPr="00746E0C">
        <w:rPr>
          <w:lang w:eastAsia="en-GB"/>
        </w:rPr>
        <w:t xml:space="preserve"> may withhold results until </w:t>
      </w:r>
      <w:r>
        <w:rPr>
          <w:lang w:eastAsia="en-GB"/>
        </w:rPr>
        <w:t>we are satisfied</w:t>
      </w:r>
      <w:r w:rsidRPr="00746E0C">
        <w:rPr>
          <w:lang w:eastAsia="en-GB"/>
        </w:rPr>
        <w:t xml:space="preserve"> of the validity of </w:t>
      </w:r>
      <w:r>
        <w:rPr>
          <w:lang w:eastAsia="en-GB"/>
        </w:rPr>
        <w:t xml:space="preserve">your </w:t>
      </w:r>
      <w:r w:rsidRPr="00746E0C">
        <w:rPr>
          <w:lang w:eastAsia="en-GB"/>
        </w:rPr>
        <w:t>submission. </w:t>
      </w:r>
    </w:p>
    <w:p w14:paraId="51E90EB9" w14:textId="3277BC44" w:rsidR="00746E0C" w:rsidRPr="00746E0C" w:rsidRDefault="00656049" w:rsidP="00F80F8C">
      <w:pPr>
        <w:pStyle w:val="Heading2"/>
        <w:rPr>
          <w:rFonts w:ascii="Segoe UI" w:eastAsia="Times New Roman" w:hAnsi="Segoe UI" w:cs="Segoe UI"/>
          <w:sz w:val="18"/>
          <w:szCs w:val="18"/>
          <w:lang w:eastAsia="en-GB"/>
        </w:rPr>
      </w:pPr>
      <w:r>
        <w:rPr>
          <w:rFonts w:eastAsia="Times New Roman"/>
          <w:lang w:eastAsia="en-GB"/>
        </w:rPr>
        <w:t xml:space="preserve">Timelines and </w:t>
      </w:r>
      <w:r w:rsidR="00746E0C" w:rsidRPr="00746E0C">
        <w:rPr>
          <w:rFonts w:eastAsia="Times New Roman"/>
          <w:lang w:eastAsia="en-GB"/>
        </w:rPr>
        <w:t>Issuing results </w:t>
      </w:r>
    </w:p>
    <w:p w14:paraId="74E6A8F8" w14:textId="6316DC8F" w:rsidR="00746E0C" w:rsidRPr="00746E0C" w:rsidRDefault="405EAC7E" w:rsidP="00F80F8C">
      <w:pPr>
        <w:rPr>
          <w:rFonts w:ascii="Segoe UI" w:hAnsi="Segoe UI" w:cs="Segoe UI"/>
          <w:sz w:val="18"/>
          <w:szCs w:val="18"/>
          <w:lang w:eastAsia="en-GB"/>
        </w:rPr>
      </w:pPr>
      <w:r w:rsidRPr="27734720">
        <w:rPr>
          <w:lang w:eastAsia="en-GB"/>
        </w:rPr>
        <w:t xml:space="preserve">Once </w:t>
      </w:r>
      <w:r w:rsidR="3C08EE4E" w:rsidRPr="27734720">
        <w:rPr>
          <w:lang w:eastAsia="en-GB"/>
        </w:rPr>
        <w:t>we have assured ourselves</w:t>
      </w:r>
      <w:r w:rsidRPr="27734720">
        <w:rPr>
          <w:lang w:eastAsia="en-GB"/>
        </w:rPr>
        <w:t xml:space="preserve"> of the validity of </w:t>
      </w:r>
      <w:r w:rsidR="36B7FD22" w:rsidRPr="27734720">
        <w:rPr>
          <w:lang w:eastAsia="en-GB"/>
        </w:rPr>
        <w:t>your</w:t>
      </w:r>
      <w:r w:rsidRPr="27734720">
        <w:rPr>
          <w:lang w:eastAsia="en-GB"/>
        </w:rPr>
        <w:t xml:space="preserve"> submission in any given window, </w:t>
      </w:r>
      <w:r w:rsidR="36B7FD22" w:rsidRPr="27734720">
        <w:rPr>
          <w:lang w:eastAsia="en-GB"/>
        </w:rPr>
        <w:t>we</w:t>
      </w:r>
      <w:r w:rsidRPr="27734720">
        <w:rPr>
          <w:lang w:eastAsia="en-GB"/>
        </w:rPr>
        <w:t xml:space="preserve"> will release the results on a rolling basis. </w:t>
      </w:r>
      <w:r w:rsidR="3C08EE4E" w:rsidRPr="27734720">
        <w:rPr>
          <w:lang w:eastAsia="en-GB"/>
        </w:rPr>
        <w:t>You can start to gather the evidence now for your learners and we will advise you of the process for submitting your CDG</w:t>
      </w:r>
      <w:r w:rsidR="36B7FD22" w:rsidRPr="27734720">
        <w:rPr>
          <w:lang w:eastAsia="en-GB"/>
        </w:rPr>
        <w:t>s</w:t>
      </w:r>
      <w:r w:rsidR="3C08EE4E" w:rsidRPr="27734720">
        <w:rPr>
          <w:lang w:eastAsia="en-GB"/>
        </w:rPr>
        <w:t xml:space="preserve"> and when to expect those results </w:t>
      </w:r>
      <w:r w:rsidR="0DA1D35A" w:rsidRPr="27734720">
        <w:rPr>
          <w:lang w:eastAsia="en-GB"/>
        </w:rPr>
        <w:t>shortly</w:t>
      </w:r>
      <w:r w:rsidR="3C08EE4E" w:rsidRPr="27734720">
        <w:rPr>
          <w:lang w:eastAsia="en-GB"/>
        </w:rPr>
        <w:t>.</w:t>
      </w:r>
    </w:p>
    <w:p w14:paraId="576AB97B" w14:textId="379C7E94" w:rsidR="00746E0C" w:rsidRPr="00746E0C" w:rsidRDefault="405EAC7E" w:rsidP="00F80F8C">
      <w:pPr>
        <w:pStyle w:val="Heading2"/>
        <w:rPr>
          <w:rFonts w:ascii="Segoe UI" w:eastAsia="Times New Roman" w:hAnsi="Segoe UI" w:cs="Segoe UI"/>
          <w:sz w:val="18"/>
          <w:szCs w:val="18"/>
          <w:lang w:eastAsia="en-GB"/>
        </w:rPr>
      </w:pPr>
      <w:r w:rsidRPr="27734720">
        <w:rPr>
          <w:rFonts w:eastAsia="Times New Roman"/>
          <w:lang w:eastAsia="en-GB"/>
        </w:rPr>
        <w:t>Malpractice and maladmin</w:t>
      </w:r>
      <w:r w:rsidR="3544780D" w:rsidRPr="27734720">
        <w:rPr>
          <w:rFonts w:eastAsia="Times New Roman"/>
          <w:lang w:eastAsia="en-GB"/>
        </w:rPr>
        <w:t>i</w:t>
      </w:r>
      <w:r w:rsidRPr="27734720">
        <w:rPr>
          <w:rFonts w:eastAsia="Times New Roman"/>
          <w:lang w:eastAsia="en-GB"/>
        </w:rPr>
        <w:t>stration </w:t>
      </w:r>
      <w:r w:rsidR="7B9216A9" w:rsidRPr="27734720">
        <w:rPr>
          <w:rFonts w:eastAsia="Times New Roman"/>
          <w:lang w:eastAsia="en-GB"/>
        </w:rPr>
        <w:t xml:space="preserve"> </w:t>
      </w:r>
    </w:p>
    <w:p w14:paraId="345A7881" w14:textId="2085B445" w:rsidR="00746E0C" w:rsidRPr="00746E0C" w:rsidRDefault="00746E0C" w:rsidP="00746E0C">
      <w:pPr>
        <w:spacing w:after="0" w:line="240" w:lineRule="auto"/>
        <w:textAlignment w:val="baseline"/>
        <w:rPr>
          <w:rFonts w:ascii="Segoe UI" w:eastAsia="Times New Roman" w:hAnsi="Segoe UI" w:cs="Segoe UI"/>
          <w:sz w:val="18"/>
          <w:szCs w:val="18"/>
          <w:lang w:eastAsia="en-GB"/>
        </w:rPr>
      </w:pPr>
      <w:r w:rsidRPr="00746E0C">
        <w:rPr>
          <w:lang w:eastAsia="en-GB"/>
        </w:rPr>
        <w:t xml:space="preserve">Where </w:t>
      </w:r>
      <w:r w:rsidR="00F80F8C">
        <w:rPr>
          <w:lang w:eastAsia="en-GB"/>
        </w:rPr>
        <w:t>we have</w:t>
      </w:r>
      <w:r w:rsidRPr="00746E0C">
        <w:rPr>
          <w:lang w:eastAsia="en-GB"/>
        </w:rPr>
        <w:t xml:space="preserve"> any concerns regarding the validity of a centre’s submission </w:t>
      </w:r>
      <w:r w:rsidR="00F80F8C">
        <w:rPr>
          <w:lang w:eastAsia="en-GB"/>
        </w:rPr>
        <w:t>we</w:t>
      </w:r>
      <w:r w:rsidRPr="00746E0C">
        <w:rPr>
          <w:lang w:eastAsia="en-GB"/>
        </w:rPr>
        <w:t xml:space="preserve"> may choose to take further action over and above the quality assurance activities outlined above. Where serious concerns are identified </w:t>
      </w:r>
      <w:r w:rsidR="00C9751C">
        <w:rPr>
          <w:lang w:eastAsia="en-GB"/>
        </w:rPr>
        <w:t>we</w:t>
      </w:r>
      <w:r w:rsidRPr="00746E0C">
        <w:rPr>
          <w:lang w:eastAsia="en-GB"/>
        </w:rPr>
        <w:t> may choose to</w:t>
      </w:r>
      <w:r w:rsidRPr="00746E0C">
        <w:rPr>
          <w:rFonts w:ascii="Calibri" w:eastAsia="Times New Roman" w:hAnsi="Calibri" w:cs="Calibri"/>
          <w:lang w:eastAsia="en-GB"/>
        </w:rPr>
        <w:t xml:space="preserve"> withhold results for any or all learners included in a centre’s submission pending the outcome to any further investigation. </w:t>
      </w:r>
    </w:p>
    <w:p w14:paraId="124AC638" w14:textId="77777777" w:rsidR="00746E0C" w:rsidRPr="00746E0C" w:rsidRDefault="00746E0C" w:rsidP="00746E0C"/>
    <w:sectPr w:rsidR="00746E0C" w:rsidRPr="00746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964"/>
    <w:multiLevelType w:val="multilevel"/>
    <w:tmpl w:val="712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7571B"/>
    <w:multiLevelType w:val="hybridMultilevel"/>
    <w:tmpl w:val="9664F1F2"/>
    <w:lvl w:ilvl="0" w:tplc="754C7716">
      <w:start w:val="1"/>
      <w:numFmt w:val="bullet"/>
      <w:lvlText w:val=""/>
      <w:lvlJc w:val="left"/>
      <w:pPr>
        <w:tabs>
          <w:tab w:val="num" w:pos="720"/>
        </w:tabs>
        <w:ind w:left="720" w:hanging="360"/>
      </w:pPr>
      <w:rPr>
        <w:rFonts w:ascii="Symbol" w:hAnsi="Symbol" w:hint="default"/>
        <w:sz w:val="20"/>
      </w:rPr>
    </w:lvl>
    <w:lvl w:ilvl="1" w:tplc="1B363F64" w:tentative="1">
      <w:start w:val="1"/>
      <w:numFmt w:val="bullet"/>
      <w:lvlText w:val=""/>
      <w:lvlJc w:val="left"/>
      <w:pPr>
        <w:tabs>
          <w:tab w:val="num" w:pos="1440"/>
        </w:tabs>
        <w:ind w:left="1440" w:hanging="360"/>
      </w:pPr>
      <w:rPr>
        <w:rFonts w:ascii="Symbol" w:hAnsi="Symbol" w:hint="default"/>
        <w:sz w:val="20"/>
      </w:rPr>
    </w:lvl>
    <w:lvl w:ilvl="2" w:tplc="63786362" w:tentative="1">
      <w:start w:val="1"/>
      <w:numFmt w:val="bullet"/>
      <w:lvlText w:val=""/>
      <w:lvlJc w:val="left"/>
      <w:pPr>
        <w:tabs>
          <w:tab w:val="num" w:pos="2160"/>
        </w:tabs>
        <w:ind w:left="2160" w:hanging="360"/>
      </w:pPr>
      <w:rPr>
        <w:rFonts w:ascii="Symbol" w:hAnsi="Symbol" w:hint="default"/>
        <w:sz w:val="20"/>
      </w:rPr>
    </w:lvl>
    <w:lvl w:ilvl="3" w:tplc="4262F4B2" w:tentative="1">
      <w:start w:val="1"/>
      <w:numFmt w:val="bullet"/>
      <w:lvlText w:val=""/>
      <w:lvlJc w:val="left"/>
      <w:pPr>
        <w:tabs>
          <w:tab w:val="num" w:pos="2880"/>
        </w:tabs>
        <w:ind w:left="2880" w:hanging="360"/>
      </w:pPr>
      <w:rPr>
        <w:rFonts w:ascii="Symbol" w:hAnsi="Symbol" w:hint="default"/>
        <w:sz w:val="20"/>
      </w:rPr>
    </w:lvl>
    <w:lvl w:ilvl="4" w:tplc="D832982C" w:tentative="1">
      <w:start w:val="1"/>
      <w:numFmt w:val="bullet"/>
      <w:lvlText w:val=""/>
      <w:lvlJc w:val="left"/>
      <w:pPr>
        <w:tabs>
          <w:tab w:val="num" w:pos="3600"/>
        </w:tabs>
        <w:ind w:left="3600" w:hanging="360"/>
      </w:pPr>
      <w:rPr>
        <w:rFonts w:ascii="Symbol" w:hAnsi="Symbol" w:hint="default"/>
        <w:sz w:val="20"/>
      </w:rPr>
    </w:lvl>
    <w:lvl w:ilvl="5" w:tplc="36EA36FE" w:tentative="1">
      <w:start w:val="1"/>
      <w:numFmt w:val="bullet"/>
      <w:lvlText w:val=""/>
      <w:lvlJc w:val="left"/>
      <w:pPr>
        <w:tabs>
          <w:tab w:val="num" w:pos="4320"/>
        </w:tabs>
        <w:ind w:left="4320" w:hanging="360"/>
      </w:pPr>
      <w:rPr>
        <w:rFonts w:ascii="Symbol" w:hAnsi="Symbol" w:hint="default"/>
        <w:sz w:val="20"/>
      </w:rPr>
    </w:lvl>
    <w:lvl w:ilvl="6" w:tplc="21C254EE" w:tentative="1">
      <w:start w:val="1"/>
      <w:numFmt w:val="bullet"/>
      <w:lvlText w:val=""/>
      <w:lvlJc w:val="left"/>
      <w:pPr>
        <w:tabs>
          <w:tab w:val="num" w:pos="5040"/>
        </w:tabs>
        <w:ind w:left="5040" w:hanging="360"/>
      </w:pPr>
      <w:rPr>
        <w:rFonts w:ascii="Symbol" w:hAnsi="Symbol" w:hint="default"/>
        <w:sz w:val="20"/>
      </w:rPr>
    </w:lvl>
    <w:lvl w:ilvl="7" w:tplc="811EF302" w:tentative="1">
      <w:start w:val="1"/>
      <w:numFmt w:val="bullet"/>
      <w:lvlText w:val=""/>
      <w:lvlJc w:val="left"/>
      <w:pPr>
        <w:tabs>
          <w:tab w:val="num" w:pos="5760"/>
        </w:tabs>
        <w:ind w:left="5760" w:hanging="360"/>
      </w:pPr>
      <w:rPr>
        <w:rFonts w:ascii="Symbol" w:hAnsi="Symbol" w:hint="default"/>
        <w:sz w:val="20"/>
      </w:rPr>
    </w:lvl>
    <w:lvl w:ilvl="8" w:tplc="5CF0F8C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424E9"/>
    <w:multiLevelType w:val="multilevel"/>
    <w:tmpl w:val="734C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12B17"/>
    <w:multiLevelType w:val="multilevel"/>
    <w:tmpl w:val="966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34A4D"/>
    <w:multiLevelType w:val="hybridMultilevel"/>
    <w:tmpl w:val="7A80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536A0"/>
    <w:multiLevelType w:val="hybridMultilevel"/>
    <w:tmpl w:val="C6DA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B1FB1"/>
    <w:multiLevelType w:val="multilevel"/>
    <w:tmpl w:val="323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B796C"/>
    <w:multiLevelType w:val="hybridMultilevel"/>
    <w:tmpl w:val="FBAEE9CA"/>
    <w:lvl w:ilvl="0" w:tplc="80AA9E70">
      <w:start w:val="1"/>
      <w:numFmt w:val="bullet"/>
      <w:lvlText w:val=""/>
      <w:lvlJc w:val="left"/>
      <w:pPr>
        <w:tabs>
          <w:tab w:val="num" w:pos="720"/>
        </w:tabs>
        <w:ind w:left="720" w:hanging="360"/>
      </w:pPr>
      <w:rPr>
        <w:rFonts w:ascii="Symbol" w:hAnsi="Symbol" w:hint="default"/>
        <w:sz w:val="20"/>
      </w:rPr>
    </w:lvl>
    <w:lvl w:ilvl="1" w:tplc="9C7CB078" w:tentative="1">
      <w:start w:val="1"/>
      <w:numFmt w:val="bullet"/>
      <w:lvlText w:val=""/>
      <w:lvlJc w:val="left"/>
      <w:pPr>
        <w:tabs>
          <w:tab w:val="num" w:pos="1440"/>
        </w:tabs>
        <w:ind w:left="1440" w:hanging="360"/>
      </w:pPr>
      <w:rPr>
        <w:rFonts w:ascii="Symbol" w:hAnsi="Symbol" w:hint="default"/>
        <w:sz w:val="20"/>
      </w:rPr>
    </w:lvl>
    <w:lvl w:ilvl="2" w:tplc="6AC80E0C" w:tentative="1">
      <w:start w:val="1"/>
      <w:numFmt w:val="bullet"/>
      <w:lvlText w:val=""/>
      <w:lvlJc w:val="left"/>
      <w:pPr>
        <w:tabs>
          <w:tab w:val="num" w:pos="2160"/>
        </w:tabs>
        <w:ind w:left="2160" w:hanging="360"/>
      </w:pPr>
      <w:rPr>
        <w:rFonts w:ascii="Symbol" w:hAnsi="Symbol" w:hint="default"/>
        <w:sz w:val="20"/>
      </w:rPr>
    </w:lvl>
    <w:lvl w:ilvl="3" w:tplc="57FCCA40" w:tentative="1">
      <w:start w:val="1"/>
      <w:numFmt w:val="bullet"/>
      <w:lvlText w:val=""/>
      <w:lvlJc w:val="left"/>
      <w:pPr>
        <w:tabs>
          <w:tab w:val="num" w:pos="2880"/>
        </w:tabs>
        <w:ind w:left="2880" w:hanging="360"/>
      </w:pPr>
      <w:rPr>
        <w:rFonts w:ascii="Symbol" w:hAnsi="Symbol" w:hint="default"/>
        <w:sz w:val="20"/>
      </w:rPr>
    </w:lvl>
    <w:lvl w:ilvl="4" w:tplc="82E6388E" w:tentative="1">
      <w:start w:val="1"/>
      <w:numFmt w:val="bullet"/>
      <w:lvlText w:val=""/>
      <w:lvlJc w:val="left"/>
      <w:pPr>
        <w:tabs>
          <w:tab w:val="num" w:pos="3600"/>
        </w:tabs>
        <w:ind w:left="3600" w:hanging="360"/>
      </w:pPr>
      <w:rPr>
        <w:rFonts w:ascii="Symbol" w:hAnsi="Symbol" w:hint="default"/>
        <w:sz w:val="20"/>
      </w:rPr>
    </w:lvl>
    <w:lvl w:ilvl="5" w:tplc="FBF8EAE0" w:tentative="1">
      <w:start w:val="1"/>
      <w:numFmt w:val="bullet"/>
      <w:lvlText w:val=""/>
      <w:lvlJc w:val="left"/>
      <w:pPr>
        <w:tabs>
          <w:tab w:val="num" w:pos="4320"/>
        </w:tabs>
        <w:ind w:left="4320" w:hanging="360"/>
      </w:pPr>
      <w:rPr>
        <w:rFonts w:ascii="Symbol" w:hAnsi="Symbol" w:hint="default"/>
        <w:sz w:val="20"/>
      </w:rPr>
    </w:lvl>
    <w:lvl w:ilvl="6" w:tplc="36ACBF20" w:tentative="1">
      <w:start w:val="1"/>
      <w:numFmt w:val="bullet"/>
      <w:lvlText w:val=""/>
      <w:lvlJc w:val="left"/>
      <w:pPr>
        <w:tabs>
          <w:tab w:val="num" w:pos="5040"/>
        </w:tabs>
        <w:ind w:left="5040" w:hanging="360"/>
      </w:pPr>
      <w:rPr>
        <w:rFonts w:ascii="Symbol" w:hAnsi="Symbol" w:hint="default"/>
        <w:sz w:val="20"/>
      </w:rPr>
    </w:lvl>
    <w:lvl w:ilvl="7" w:tplc="DBFCD184" w:tentative="1">
      <w:start w:val="1"/>
      <w:numFmt w:val="bullet"/>
      <w:lvlText w:val=""/>
      <w:lvlJc w:val="left"/>
      <w:pPr>
        <w:tabs>
          <w:tab w:val="num" w:pos="5760"/>
        </w:tabs>
        <w:ind w:left="5760" w:hanging="360"/>
      </w:pPr>
      <w:rPr>
        <w:rFonts w:ascii="Symbol" w:hAnsi="Symbol" w:hint="default"/>
        <w:sz w:val="20"/>
      </w:rPr>
    </w:lvl>
    <w:lvl w:ilvl="8" w:tplc="739CCBB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9A2FD8"/>
    <w:multiLevelType w:val="multilevel"/>
    <w:tmpl w:val="323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1140EE"/>
    <w:multiLevelType w:val="multilevel"/>
    <w:tmpl w:val="966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733C4"/>
    <w:multiLevelType w:val="multilevel"/>
    <w:tmpl w:val="323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47455"/>
    <w:multiLevelType w:val="multilevel"/>
    <w:tmpl w:val="966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525B54"/>
    <w:multiLevelType w:val="multilevel"/>
    <w:tmpl w:val="3230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0"/>
  </w:num>
  <w:num w:numId="4">
    <w:abstractNumId w:val="7"/>
  </w:num>
  <w:num w:numId="5">
    <w:abstractNumId w:val="2"/>
  </w:num>
  <w:num w:numId="6">
    <w:abstractNumId w:val="0"/>
  </w:num>
  <w:num w:numId="7">
    <w:abstractNumId w:val="5"/>
  </w:num>
  <w:num w:numId="8">
    <w:abstractNumId w:val="12"/>
  </w:num>
  <w:num w:numId="9">
    <w:abstractNumId w:val="6"/>
  </w:num>
  <w:num w:numId="10">
    <w:abstractNumId w:val="8"/>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E46"/>
    <w:rsid w:val="000273B3"/>
    <w:rsid w:val="00176CDB"/>
    <w:rsid w:val="0019702E"/>
    <w:rsid w:val="001B22AC"/>
    <w:rsid w:val="002C1F82"/>
    <w:rsid w:val="002D38DC"/>
    <w:rsid w:val="00372A6D"/>
    <w:rsid w:val="00412DF8"/>
    <w:rsid w:val="005C5EE8"/>
    <w:rsid w:val="00611323"/>
    <w:rsid w:val="00656049"/>
    <w:rsid w:val="006C3056"/>
    <w:rsid w:val="006F5E46"/>
    <w:rsid w:val="00746E0C"/>
    <w:rsid w:val="00B25851"/>
    <w:rsid w:val="00B408A8"/>
    <w:rsid w:val="00BE7E61"/>
    <w:rsid w:val="00C9751C"/>
    <w:rsid w:val="00D63307"/>
    <w:rsid w:val="00DB783B"/>
    <w:rsid w:val="00F67782"/>
    <w:rsid w:val="00F80F8C"/>
    <w:rsid w:val="0DA1D35A"/>
    <w:rsid w:val="0E714165"/>
    <w:rsid w:val="11166B56"/>
    <w:rsid w:val="185AB838"/>
    <w:rsid w:val="1EEAD22F"/>
    <w:rsid w:val="23083058"/>
    <w:rsid w:val="27734720"/>
    <w:rsid w:val="31643BE7"/>
    <w:rsid w:val="33E7B3D0"/>
    <w:rsid w:val="34B65329"/>
    <w:rsid w:val="3544780D"/>
    <w:rsid w:val="36B7FD22"/>
    <w:rsid w:val="3B1CC149"/>
    <w:rsid w:val="3C08EE4E"/>
    <w:rsid w:val="3F01E645"/>
    <w:rsid w:val="405EAC7E"/>
    <w:rsid w:val="44B5ACF0"/>
    <w:rsid w:val="48543500"/>
    <w:rsid w:val="4BB3E6A9"/>
    <w:rsid w:val="5ACF1A68"/>
    <w:rsid w:val="60812C0B"/>
    <w:rsid w:val="79D7DCC7"/>
    <w:rsid w:val="7B9216A9"/>
    <w:rsid w:val="7BA3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AE1F"/>
  <w15:chartTrackingRefBased/>
  <w15:docId w15:val="{BD42F2A6-A2DE-445E-AC48-8DC4E2A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E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7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0C"/>
    <w:pPr>
      <w:ind w:left="720"/>
      <w:contextualSpacing/>
    </w:pPr>
  </w:style>
  <w:style w:type="paragraph" w:customStyle="1" w:styleId="paragraph">
    <w:name w:val="paragraph"/>
    <w:basedOn w:val="Normal"/>
    <w:rsid w:val="00746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6E0C"/>
  </w:style>
  <w:style w:type="character" w:customStyle="1" w:styleId="eop">
    <w:name w:val="eop"/>
    <w:basedOn w:val="DefaultParagraphFont"/>
    <w:rsid w:val="00746E0C"/>
  </w:style>
  <w:style w:type="character" w:customStyle="1" w:styleId="Heading1Char">
    <w:name w:val="Heading 1 Char"/>
    <w:basedOn w:val="DefaultParagraphFont"/>
    <w:link w:val="Heading1"/>
    <w:uiPriority w:val="9"/>
    <w:rsid w:val="00BE7E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E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7E6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25851"/>
    <w:rPr>
      <w:sz w:val="16"/>
      <w:szCs w:val="16"/>
    </w:rPr>
  </w:style>
  <w:style w:type="paragraph" w:styleId="CommentText">
    <w:name w:val="annotation text"/>
    <w:basedOn w:val="Normal"/>
    <w:link w:val="CommentTextChar"/>
    <w:uiPriority w:val="99"/>
    <w:semiHidden/>
    <w:unhideWhenUsed/>
    <w:rsid w:val="00B25851"/>
    <w:pPr>
      <w:spacing w:line="240" w:lineRule="auto"/>
    </w:pPr>
    <w:rPr>
      <w:sz w:val="20"/>
      <w:szCs w:val="20"/>
    </w:rPr>
  </w:style>
  <w:style w:type="character" w:customStyle="1" w:styleId="CommentTextChar">
    <w:name w:val="Comment Text Char"/>
    <w:basedOn w:val="DefaultParagraphFont"/>
    <w:link w:val="CommentText"/>
    <w:uiPriority w:val="99"/>
    <w:semiHidden/>
    <w:rsid w:val="00B25851"/>
    <w:rPr>
      <w:sz w:val="20"/>
      <w:szCs w:val="20"/>
    </w:rPr>
  </w:style>
  <w:style w:type="paragraph" w:styleId="CommentSubject">
    <w:name w:val="annotation subject"/>
    <w:basedOn w:val="CommentText"/>
    <w:next w:val="CommentText"/>
    <w:link w:val="CommentSubjectChar"/>
    <w:uiPriority w:val="99"/>
    <w:semiHidden/>
    <w:unhideWhenUsed/>
    <w:rsid w:val="00B25851"/>
    <w:rPr>
      <w:b/>
      <w:bCs/>
    </w:rPr>
  </w:style>
  <w:style w:type="character" w:customStyle="1" w:styleId="CommentSubjectChar">
    <w:name w:val="Comment Subject Char"/>
    <w:basedOn w:val="CommentTextChar"/>
    <w:link w:val="CommentSubject"/>
    <w:uiPriority w:val="99"/>
    <w:semiHidden/>
    <w:rsid w:val="00B25851"/>
    <w:rPr>
      <w:b/>
      <w:bCs/>
      <w:sz w:val="20"/>
      <w:szCs w:val="20"/>
    </w:rPr>
  </w:style>
  <w:style w:type="paragraph" w:styleId="BalloonText">
    <w:name w:val="Balloon Text"/>
    <w:basedOn w:val="Normal"/>
    <w:link w:val="BalloonTextChar"/>
    <w:uiPriority w:val="99"/>
    <w:semiHidden/>
    <w:unhideWhenUsed/>
    <w:rsid w:val="00B25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53442">
      <w:bodyDiv w:val="1"/>
      <w:marLeft w:val="0"/>
      <w:marRight w:val="0"/>
      <w:marTop w:val="0"/>
      <w:marBottom w:val="0"/>
      <w:divBdr>
        <w:top w:val="none" w:sz="0" w:space="0" w:color="auto"/>
        <w:left w:val="none" w:sz="0" w:space="0" w:color="auto"/>
        <w:bottom w:val="none" w:sz="0" w:space="0" w:color="auto"/>
        <w:right w:val="none" w:sz="0" w:space="0" w:color="auto"/>
      </w:divBdr>
      <w:divsChild>
        <w:div w:id="1750300003">
          <w:marLeft w:val="0"/>
          <w:marRight w:val="0"/>
          <w:marTop w:val="0"/>
          <w:marBottom w:val="0"/>
          <w:divBdr>
            <w:top w:val="none" w:sz="0" w:space="0" w:color="auto"/>
            <w:left w:val="none" w:sz="0" w:space="0" w:color="auto"/>
            <w:bottom w:val="none" w:sz="0" w:space="0" w:color="auto"/>
            <w:right w:val="none" w:sz="0" w:space="0" w:color="auto"/>
          </w:divBdr>
        </w:div>
        <w:div w:id="1352486754">
          <w:marLeft w:val="0"/>
          <w:marRight w:val="0"/>
          <w:marTop w:val="0"/>
          <w:marBottom w:val="0"/>
          <w:divBdr>
            <w:top w:val="none" w:sz="0" w:space="0" w:color="auto"/>
            <w:left w:val="none" w:sz="0" w:space="0" w:color="auto"/>
            <w:bottom w:val="none" w:sz="0" w:space="0" w:color="auto"/>
            <w:right w:val="none" w:sz="0" w:space="0" w:color="auto"/>
          </w:divBdr>
          <w:divsChild>
            <w:div w:id="600994039">
              <w:marLeft w:val="-75"/>
              <w:marRight w:val="0"/>
              <w:marTop w:val="30"/>
              <w:marBottom w:val="30"/>
              <w:divBdr>
                <w:top w:val="none" w:sz="0" w:space="0" w:color="auto"/>
                <w:left w:val="none" w:sz="0" w:space="0" w:color="auto"/>
                <w:bottom w:val="none" w:sz="0" w:space="0" w:color="auto"/>
                <w:right w:val="none" w:sz="0" w:space="0" w:color="auto"/>
              </w:divBdr>
              <w:divsChild>
                <w:div w:id="815729835">
                  <w:marLeft w:val="0"/>
                  <w:marRight w:val="0"/>
                  <w:marTop w:val="0"/>
                  <w:marBottom w:val="0"/>
                  <w:divBdr>
                    <w:top w:val="none" w:sz="0" w:space="0" w:color="auto"/>
                    <w:left w:val="none" w:sz="0" w:space="0" w:color="auto"/>
                    <w:bottom w:val="none" w:sz="0" w:space="0" w:color="auto"/>
                    <w:right w:val="none" w:sz="0" w:space="0" w:color="auto"/>
                  </w:divBdr>
                  <w:divsChild>
                    <w:div w:id="1949924535">
                      <w:marLeft w:val="0"/>
                      <w:marRight w:val="0"/>
                      <w:marTop w:val="0"/>
                      <w:marBottom w:val="0"/>
                      <w:divBdr>
                        <w:top w:val="none" w:sz="0" w:space="0" w:color="auto"/>
                        <w:left w:val="none" w:sz="0" w:space="0" w:color="auto"/>
                        <w:bottom w:val="none" w:sz="0" w:space="0" w:color="auto"/>
                        <w:right w:val="none" w:sz="0" w:space="0" w:color="auto"/>
                      </w:divBdr>
                    </w:div>
                  </w:divsChild>
                </w:div>
                <w:div w:id="194778088">
                  <w:marLeft w:val="0"/>
                  <w:marRight w:val="0"/>
                  <w:marTop w:val="0"/>
                  <w:marBottom w:val="0"/>
                  <w:divBdr>
                    <w:top w:val="none" w:sz="0" w:space="0" w:color="auto"/>
                    <w:left w:val="none" w:sz="0" w:space="0" w:color="auto"/>
                    <w:bottom w:val="none" w:sz="0" w:space="0" w:color="auto"/>
                    <w:right w:val="none" w:sz="0" w:space="0" w:color="auto"/>
                  </w:divBdr>
                  <w:divsChild>
                    <w:div w:id="429277045">
                      <w:marLeft w:val="0"/>
                      <w:marRight w:val="0"/>
                      <w:marTop w:val="0"/>
                      <w:marBottom w:val="0"/>
                      <w:divBdr>
                        <w:top w:val="none" w:sz="0" w:space="0" w:color="auto"/>
                        <w:left w:val="none" w:sz="0" w:space="0" w:color="auto"/>
                        <w:bottom w:val="none" w:sz="0" w:space="0" w:color="auto"/>
                        <w:right w:val="none" w:sz="0" w:space="0" w:color="auto"/>
                      </w:divBdr>
                    </w:div>
                  </w:divsChild>
                </w:div>
                <w:div w:id="551161437">
                  <w:marLeft w:val="0"/>
                  <w:marRight w:val="0"/>
                  <w:marTop w:val="0"/>
                  <w:marBottom w:val="0"/>
                  <w:divBdr>
                    <w:top w:val="none" w:sz="0" w:space="0" w:color="auto"/>
                    <w:left w:val="none" w:sz="0" w:space="0" w:color="auto"/>
                    <w:bottom w:val="none" w:sz="0" w:space="0" w:color="auto"/>
                    <w:right w:val="none" w:sz="0" w:space="0" w:color="auto"/>
                  </w:divBdr>
                  <w:divsChild>
                    <w:div w:id="1126434724">
                      <w:marLeft w:val="0"/>
                      <w:marRight w:val="0"/>
                      <w:marTop w:val="0"/>
                      <w:marBottom w:val="0"/>
                      <w:divBdr>
                        <w:top w:val="none" w:sz="0" w:space="0" w:color="auto"/>
                        <w:left w:val="none" w:sz="0" w:space="0" w:color="auto"/>
                        <w:bottom w:val="none" w:sz="0" w:space="0" w:color="auto"/>
                        <w:right w:val="none" w:sz="0" w:space="0" w:color="auto"/>
                      </w:divBdr>
                    </w:div>
                    <w:div w:id="682364843">
                      <w:marLeft w:val="0"/>
                      <w:marRight w:val="0"/>
                      <w:marTop w:val="0"/>
                      <w:marBottom w:val="0"/>
                      <w:divBdr>
                        <w:top w:val="none" w:sz="0" w:space="0" w:color="auto"/>
                        <w:left w:val="none" w:sz="0" w:space="0" w:color="auto"/>
                        <w:bottom w:val="none" w:sz="0" w:space="0" w:color="auto"/>
                        <w:right w:val="none" w:sz="0" w:space="0" w:color="auto"/>
                      </w:divBdr>
                    </w:div>
                  </w:divsChild>
                </w:div>
                <w:div w:id="1868906673">
                  <w:marLeft w:val="0"/>
                  <w:marRight w:val="0"/>
                  <w:marTop w:val="0"/>
                  <w:marBottom w:val="0"/>
                  <w:divBdr>
                    <w:top w:val="none" w:sz="0" w:space="0" w:color="auto"/>
                    <w:left w:val="none" w:sz="0" w:space="0" w:color="auto"/>
                    <w:bottom w:val="none" w:sz="0" w:space="0" w:color="auto"/>
                    <w:right w:val="none" w:sz="0" w:space="0" w:color="auto"/>
                  </w:divBdr>
                  <w:divsChild>
                    <w:div w:id="600383830">
                      <w:marLeft w:val="0"/>
                      <w:marRight w:val="0"/>
                      <w:marTop w:val="0"/>
                      <w:marBottom w:val="0"/>
                      <w:divBdr>
                        <w:top w:val="none" w:sz="0" w:space="0" w:color="auto"/>
                        <w:left w:val="none" w:sz="0" w:space="0" w:color="auto"/>
                        <w:bottom w:val="none" w:sz="0" w:space="0" w:color="auto"/>
                        <w:right w:val="none" w:sz="0" w:space="0" w:color="auto"/>
                      </w:divBdr>
                    </w:div>
                  </w:divsChild>
                </w:div>
                <w:div w:id="1717778935">
                  <w:marLeft w:val="0"/>
                  <w:marRight w:val="0"/>
                  <w:marTop w:val="0"/>
                  <w:marBottom w:val="0"/>
                  <w:divBdr>
                    <w:top w:val="none" w:sz="0" w:space="0" w:color="auto"/>
                    <w:left w:val="none" w:sz="0" w:space="0" w:color="auto"/>
                    <w:bottom w:val="none" w:sz="0" w:space="0" w:color="auto"/>
                    <w:right w:val="none" w:sz="0" w:space="0" w:color="auto"/>
                  </w:divBdr>
                  <w:divsChild>
                    <w:div w:id="1609002805">
                      <w:marLeft w:val="0"/>
                      <w:marRight w:val="0"/>
                      <w:marTop w:val="0"/>
                      <w:marBottom w:val="0"/>
                      <w:divBdr>
                        <w:top w:val="none" w:sz="0" w:space="0" w:color="auto"/>
                        <w:left w:val="none" w:sz="0" w:space="0" w:color="auto"/>
                        <w:bottom w:val="none" w:sz="0" w:space="0" w:color="auto"/>
                        <w:right w:val="none" w:sz="0" w:space="0" w:color="auto"/>
                      </w:divBdr>
                    </w:div>
                    <w:div w:id="1366952443">
                      <w:marLeft w:val="0"/>
                      <w:marRight w:val="0"/>
                      <w:marTop w:val="0"/>
                      <w:marBottom w:val="0"/>
                      <w:divBdr>
                        <w:top w:val="none" w:sz="0" w:space="0" w:color="auto"/>
                        <w:left w:val="none" w:sz="0" w:space="0" w:color="auto"/>
                        <w:bottom w:val="none" w:sz="0" w:space="0" w:color="auto"/>
                        <w:right w:val="none" w:sz="0" w:space="0" w:color="auto"/>
                      </w:divBdr>
                    </w:div>
                  </w:divsChild>
                </w:div>
                <w:div w:id="709961294">
                  <w:marLeft w:val="0"/>
                  <w:marRight w:val="0"/>
                  <w:marTop w:val="0"/>
                  <w:marBottom w:val="0"/>
                  <w:divBdr>
                    <w:top w:val="none" w:sz="0" w:space="0" w:color="auto"/>
                    <w:left w:val="none" w:sz="0" w:space="0" w:color="auto"/>
                    <w:bottom w:val="none" w:sz="0" w:space="0" w:color="auto"/>
                    <w:right w:val="none" w:sz="0" w:space="0" w:color="auto"/>
                  </w:divBdr>
                  <w:divsChild>
                    <w:div w:id="1603302412">
                      <w:marLeft w:val="0"/>
                      <w:marRight w:val="0"/>
                      <w:marTop w:val="0"/>
                      <w:marBottom w:val="0"/>
                      <w:divBdr>
                        <w:top w:val="none" w:sz="0" w:space="0" w:color="auto"/>
                        <w:left w:val="none" w:sz="0" w:space="0" w:color="auto"/>
                        <w:bottom w:val="none" w:sz="0" w:space="0" w:color="auto"/>
                        <w:right w:val="none" w:sz="0" w:space="0" w:color="auto"/>
                      </w:divBdr>
                    </w:div>
                  </w:divsChild>
                </w:div>
                <w:div w:id="577327302">
                  <w:marLeft w:val="0"/>
                  <w:marRight w:val="0"/>
                  <w:marTop w:val="0"/>
                  <w:marBottom w:val="0"/>
                  <w:divBdr>
                    <w:top w:val="none" w:sz="0" w:space="0" w:color="auto"/>
                    <w:left w:val="none" w:sz="0" w:space="0" w:color="auto"/>
                    <w:bottom w:val="none" w:sz="0" w:space="0" w:color="auto"/>
                    <w:right w:val="none" w:sz="0" w:space="0" w:color="auto"/>
                  </w:divBdr>
                  <w:divsChild>
                    <w:div w:id="2146267375">
                      <w:marLeft w:val="0"/>
                      <w:marRight w:val="0"/>
                      <w:marTop w:val="0"/>
                      <w:marBottom w:val="0"/>
                      <w:divBdr>
                        <w:top w:val="none" w:sz="0" w:space="0" w:color="auto"/>
                        <w:left w:val="none" w:sz="0" w:space="0" w:color="auto"/>
                        <w:bottom w:val="none" w:sz="0" w:space="0" w:color="auto"/>
                        <w:right w:val="none" w:sz="0" w:space="0" w:color="auto"/>
                      </w:divBdr>
                    </w:div>
                  </w:divsChild>
                </w:div>
                <w:div w:id="1601252573">
                  <w:marLeft w:val="0"/>
                  <w:marRight w:val="0"/>
                  <w:marTop w:val="0"/>
                  <w:marBottom w:val="0"/>
                  <w:divBdr>
                    <w:top w:val="none" w:sz="0" w:space="0" w:color="auto"/>
                    <w:left w:val="none" w:sz="0" w:space="0" w:color="auto"/>
                    <w:bottom w:val="none" w:sz="0" w:space="0" w:color="auto"/>
                    <w:right w:val="none" w:sz="0" w:space="0" w:color="auto"/>
                  </w:divBdr>
                  <w:divsChild>
                    <w:div w:id="1364205282">
                      <w:marLeft w:val="0"/>
                      <w:marRight w:val="0"/>
                      <w:marTop w:val="0"/>
                      <w:marBottom w:val="0"/>
                      <w:divBdr>
                        <w:top w:val="none" w:sz="0" w:space="0" w:color="auto"/>
                        <w:left w:val="none" w:sz="0" w:space="0" w:color="auto"/>
                        <w:bottom w:val="none" w:sz="0" w:space="0" w:color="auto"/>
                        <w:right w:val="none" w:sz="0" w:space="0" w:color="auto"/>
                      </w:divBdr>
                    </w:div>
                    <w:div w:id="1460493409">
                      <w:marLeft w:val="0"/>
                      <w:marRight w:val="0"/>
                      <w:marTop w:val="0"/>
                      <w:marBottom w:val="0"/>
                      <w:divBdr>
                        <w:top w:val="none" w:sz="0" w:space="0" w:color="auto"/>
                        <w:left w:val="none" w:sz="0" w:space="0" w:color="auto"/>
                        <w:bottom w:val="none" w:sz="0" w:space="0" w:color="auto"/>
                        <w:right w:val="none" w:sz="0" w:space="0" w:color="auto"/>
                      </w:divBdr>
                    </w:div>
                    <w:div w:id="707150257">
                      <w:marLeft w:val="0"/>
                      <w:marRight w:val="0"/>
                      <w:marTop w:val="0"/>
                      <w:marBottom w:val="0"/>
                      <w:divBdr>
                        <w:top w:val="none" w:sz="0" w:space="0" w:color="auto"/>
                        <w:left w:val="none" w:sz="0" w:space="0" w:color="auto"/>
                        <w:bottom w:val="none" w:sz="0" w:space="0" w:color="auto"/>
                        <w:right w:val="none" w:sz="0" w:space="0" w:color="auto"/>
                      </w:divBdr>
                    </w:div>
                    <w:div w:id="957099912">
                      <w:marLeft w:val="0"/>
                      <w:marRight w:val="0"/>
                      <w:marTop w:val="0"/>
                      <w:marBottom w:val="0"/>
                      <w:divBdr>
                        <w:top w:val="none" w:sz="0" w:space="0" w:color="auto"/>
                        <w:left w:val="none" w:sz="0" w:space="0" w:color="auto"/>
                        <w:bottom w:val="none" w:sz="0" w:space="0" w:color="auto"/>
                        <w:right w:val="none" w:sz="0" w:space="0" w:color="auto"/>
                      </w:divBdr>
                    </w:div>
                    <w:div w:id="716973088">
                      <w:marLeft w:val="0"/>
                      <w:marRight w:val="0"/>
                      <w:marTop w:val="0"/>
                      <w:marBottom w:val="0"/>
                      <w:divBdr>
                        <w:top w:val="none" w:sz="0" w:space="0" w:color="auto"/>
                        <w:left w:val="none" w:sz="0" w:space="0" w:color="auto"/>
                        <w:bottom w:val="none" w:sz="0" w:space="0" w:color="auto"/>
                        <w:right w:val="none" w:sz="0" w:space="0" w:color="auto"/>
                      </w:divBdr>
                    </w:div>
                    <w:div w:id="1999503529">
                      <w:marLeft w:val="0"/>
                      <w:marRight w:val="0"/>
                      <w:marTop w:val="0"/>
                      <w:marBottom w:val="0"/>
                      <w:divBdr>
                        <w:top w:val="none" w:sz="0" w:space="0" w:color="auto"/>
                        <w:left w:val="none" w:sz="0" w:space="0" w:color="auto"/>
                        <w:bottom w:val="none" w:sz="0" w:space="0" w:color="auto"/>
                        <w:right w:val="none" w:sz="0" w:space="0" w:color="auto"/>
                      </w:divBdr>
                    </w:div>
                  </w:divsChild>
                </w:div>
                <w:div w:id="857235565">
                  <w:marLeft w:val="0"/>
                  <w:marRight w:val="0"/>
                  <w:marTop w:val="0"/>
                  <w:marBottom w:val="0"/>
                  <w:divBdr>
                    <w:top w:val="none" w:sz="0" w:space="0" w:color="auto"/>
                    <w:left w:val="none" w:sz="0" w:space="0" w:color="auto"/>
                    <w:bottom w:val="none" w:sz="0" w:space="0" w:color="auto"/>
                    <w:right w:val="none" w:sz="0" w:space="0" w:color="auto"/>
                  </w:divBdr>
                  <w:divsChild>
                    <w:div w:id="722290371">
                      <w:marLeft w:val="0"/>
                      <w:marRight w:val="0"/>
                      <w:marTop w:val="0"/>
                      <w:marBottom w:val="0"/>
                      <w:divBdr>
                        <w:top w:val="none" w:sz="0" w:space="0" w:color="auto"/>
                        <w:left w:val="none" w:sz="0" w:space="0" w:color="auto"/>
                        <w:bottom w:val="none" w:sz="0" w:space="0" w:color="auto"/>
                        <w:right w:val="none" w:sz="0" w:space="0" w:color="auto"/>
                      </w:divBdr>
                    </w:div>
                  </w:divsChild>
                </w:div>
                <w:div w:id="1526867969">
                  <w:marLeft w:val="0"/>
                  <w:marRight w:val="0"/>
                  <w:marTop w:val="0"/>
                  <w:marBottom w:val="0"/>
                  <w:divBdr>
                    <w:top w:val="none" w:sz="0" w:space="0" w:color="auto"/>
                    <w:left w:val="none" w:sz="0" w:space="0" w:color="auto"/>
                    <w:bottom w:val="none" w:sz="0" w:space="0" w:color="auto"/>
                    <w:right w:val="none" w:sz="0" w:space="0" w:color="auto"/>
                  </w:divBdr>
                  <w:divsChild>
                    <w:div w:id="15872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1456">
          <w:marLeft w:val="0"/>
          <w:marRight w:val="0"/>
          <w:marTop w:val="0"/>
          <w:marBottom w:val="0"/>
          <w:divBdr>
            <w:top w:val="none" w:sz="0" w:space="0" w:color="auto"/>
            <w:left w:val="none" w:sz="0" w:space="0" w:color="auto"/>
            <w:bottom w:val="none" w:sz="0" w:space="0" w:color="auto"/>
            <w:right w:val="none" w:sz="0" w:space="0" w:color="auto"/>
          </w:divBdr>
        </w:div>
        <w:div w:id="2011984436">
          <w:marLeft w:val="0"/>
          <w:marRight w:val="0"/>
          <w:marTop w:val="0"/>
          <w:marBottom w:val="0"/>
          <w:divBdr>
            <w:top w:val="none" w:sz="0" w:space="0" w:color="auto"/>
            <w:left w:val="none" w:sz="0" w:space="0" w:color="auto"/>
            <w:bottom w:val="none" w:sz="0" w:space="0" w:color="auto"/>
            <w:right w:val="none" w:sz="0" w:space="0" w:color="auto"/>
          </w:divBdr>
        </w:div>
        <w:div w:id="1327323702">
          <w:marLeft w:val="0"/>
          <w:marRight w:val="0"/>
          <w:marTop w:val="0"/>
          <w:marBottom w:val="0"/>
          <w:divBdr>
            <w:top w:val="none" w:sz="0" w:space="0" w:color="auto"/>
            <w:left w:val="none" w:sz="0" w:space="0" w:color="auto"/>
            <w:bottom w:val="none" w:sz="0" w:space="0" w:color="auto"/>
            <w:right w:val="none" w:sz="0" w:space="0" w:color="auto"/>
          </w:divBdr>
        </w:div>
        <w:div w:id="2140298833">
          <w:marLeft w:val="0"/>
          <w:marRight w:val="0"/>
          <w:marTop w:val="0"/>
          <w:marBottom w:val="0"/>
          <w:divBdr>
            <w:top w:val="none" w:sz="0" w:space="0" w:color="auto"/>
            <w:left w:val="none" w:sz="0" w:space="0" w:color="auto"/>
            <w:bottom w:val="none" w:sz="0" w:space="0" w:color="auto"/>
            <w:right w:val="none" w:sz="0" w:space="0" w:color="auto"/>
          </w:divBdr>
        </w:div>
        <w:div w:id="1983925709">
          <w:marLeft w:val="0"/>
          <w:marRight w:val="0"/>
          <w:marTop w:val="0"/>
          <w:marBottom w:val="0"/>
          <w:divBdr>
            <w:top w:val="none" w:sz="0" w:space="0" w:color="auto"/>
            <w:left w:val="none" w:sz="0" w:space="0" w:color="auto"/>
            <w:bottom w:val="none" w:sz="0" w:space="0" w:color="auto"/>
            <w:right w:val="none" w:sz="0" w:space="0" w:color="auto"/>
          </w:divBdr>
        </w:div>
        <w:div w:id="1166240194">
          <w:marLeft w:val="0"/>
          <w:marRight w:val="0"/>
          <w:marTop w:val="0"/>
          <w:marBottom w:val="0"/>
          <w:divBdr>
            <w:top w:val="none" w:sz="0" w:space="0" w:color="auto"/>
            <w:left w:val="none" w:sz="0" w:space="0" w:color="auto"/>
            <w:bottom w:val="none" w:sz="0" w:space="0" w:color="auto"/>
            <w:right w:val="none" w:sz="0" w:space="0" w:color="auto"/>
          </w:divBdr>
        </w:div>
        <w:div w:id="1712344563">
          <w:marLeft w:val="0"/>
          <w:marRight w:val="0"/>
          <w:marTop w:val="0"/>
          <w:marBottom w:val="0"/>
          <w:divBdr>
            <w:top w:val="none" w:sz="0" w:space="0" w:color="auto"/>
            <w:left w:val="none" w:sz="0" w:space="0" w:color="auto"/>
            <w:bottom w:val="none" w:sz="0" w:space="0" w:color="auto"/>
            <w:right w:val="none" w:sz="0" w:space="0" w:color="auto"/>
          </w:divBdr>
        </w:div>
        <w:div w:id="2004817564">
          <w:marLeft w:val="0"/>
          <w:marRight w:val="0"/>
          <w:marTop w:val="0"/>
          <w:marBottom w:val="0"/>
          <w:divBdr>
            <w:top w:val="none" w:sz="0" w:space="0" w:color="auto"/>
            <w:left w:val="none" w:sz="0" w:space="0" w:color="auto"/>
            <w:bottom w:val="none" w:sz="0" w:space="0" w:color="auto"/>
            <w:right w:val="none" w:sz="0" w:space="0" w:color="auto"/>
          </w:divBdr>
        </w:div>
        <w:div w:id="1617523866">
          <w:marLeft w:val="0"/>
          <w:marRight w:val="0"/>
          <w:marTop w:val="0"/>
          <w:marBottom w:val="0"/>
          <w:divBdr>
            <w:top w:val="none" w:sz="0" w:space="0" w:color="auto"/>
            <w:left w:val="none" w:sz="0" w:space="0" w:color="auto"/>
            <w:bottom w:val="none" w:sz="0" w:space="0" w:color="auto"/>
            <w:right w:val="none" w:sz="0" w:space="0" w:color="auto"/>
          </w:divBdr>
        </w:div>
        <w:div w:id="1585335304">
          <w:marLeft w:val="0"/>
          <w:marRight w:val="0"/>
          <w:marTop w:val="0"/>
          <w:marBottom w:val="0"/>
          <w:divBdr>
            <w:top w:val="none" w:sz="0" w:space="0" w:color="auto"/>
            <w:left w:val="none" w:sz="0" w:space="0" w:color="auto"/>
            <w:bottom w:val="none" w:sz="0" w:space="0" w:color="auto"/>
            <w:right w:val="none" w:sz="0" w:space="0" w:color="auto"/>
          </w:divBdr>
        </w:div>
        <w:div w:id="1716468065">
          <w:marLeft w:val="0"/>
          <w:marRight w:val="0"/>
          <w:marTop w:val="0"/>
          <w:marBottom w:val="0"/>
          <w:divBdr>
            <w:top w:val="none" w:sz="0" w:space="0" w:color="auto"/>
            <w:left w:val="none" w:sz="0" w:space="0" w:color="auto"/>
            <w:bottom w:val="none" w:sz="0" w:space="0" w:color="auto"/>
            <w:right w:val="none" w:sz="0" w:space="0" w:color="auto"/>
          </w:divBdr>
        </w:div>
        <w:div w:id="1481727658">
          <w:marLeft w:val="0"/>
          <w:marRight w:val="0"/>
          <w:marTop w:val="0"/>
          <w:marBottom w:val="0"/>
          <w:divBdr>
            <w:top w:val="none" w:sz="0" w:space="0" w:color="auto"/>
            <w:left w:val="none" w:sz="0" w:space="0" w:color="auto"/>
            <w:bottom w:val="none" w:sz="0" w:space="0" w:color="auto"/>
            <w:right w:val="none" w:sz="0" w:space="0" w:color="auto"/>
          </w:divBdr>
        </w:div>
        <w:div w:id="1117022248">
          <w:marLeft w:val="0"/>
          <w:marRight w:val="0"/>
          <w:marTop w:val="0"/>
          <w:marBottom w:val="0"/>
          <w:divBdr>
            <w:top w:val="none" w:sz="0" w:space="0" w:color="auto"/>
            <w:left w:val="none" w:sz="0" w:space="0" w:color="auto"/>
            <w:bottom w:val="none" w:sz="0" w:space="0" w:color="auto"/>
            <w:right w:val="none" w:sz="0" w:space="0" w:color="auto"/>
          </w:divBdr>
        </w:div>
        <w:div w:id="1832217183">
          <w:marLeft w:val="0"/>
          <w:marRight w:val="0"/>
          <w:marTop w:val="0"/>
          <w:marBottom w:val="0"/>
          <w:divBdr>
            <w:top w:val="none" w:sz="0" w:space="0" w:color="auto"/>
            <w:left w:val="none" w:sz="0" w:space="0" w:color="auto"/>
            <w:bottom w:val="none" w:sz="0" w:space="0" w:color="auto"/>
            <w:right w:val="none" w:sz="0" w:space="0" w:color="auto"/>
          </w:divBdr>
        </w:div>
        <w:div w:id="1546602668">
          <w:marLeft w:val="0"/>
          <w:marRight w:val="0"/>
          <w:marTop w:val="0"/>
          <w:marBottom w:val="0"/>
          <w:divBdr>
            <w:top w:val="none" w:sz="0" w:space="0" w:color="auto"/>
            <w:left w:val="none" w:sz="0" w:space="0" w:color="auto"/>
            <w:bottom w:val="none" w:sz="0" w:space="0" w:color="auto"/>
            <w:right w:val="none" w:sz="0" w:space="0" w:color="auto"/>
          </w:divBdr>
        </w:div>
        <w:div w:id="1622222060">
          <w:marLeft w:val="0"/>
          <w:marRight w:val="0"/>
          <w:marTop w:val="0"/>
          <w:marBottom w:val="0"/>
          <w:divBdr>
            <w:top w:val="none" w:sz="0" w:space="0" w:color="auto"/>
            <w:left w:val="none" w:sz="0" w:space="0" w:color="auto"/>
            <w:bottom w:val="none" w:sz="0" w:space="0" w:color="auto"/>
            <w:right w:val="none" w:sz="0" w:space="0" w:color="auto"/>
          </w:divBdr>
          <w:divsChild>
            <w:div w:id="1774550598">
              <w:marLeft w:val="0"/>
              <w:marRight w:val="0"/>
              <w:marTop w:val="0"/>
              <w:marBottom w:val="0"/>
              <w:divBdr>
                <w:top w:val="none" w:sz="0" w:space="0" w:color="auto"/>
                <w:left w:val="none" w:sz="0" w:space="0" w:color="auto"/>
                <w:bottom w:val="none" w:sz="0" w:space="0" w:color="auto"/>
                <w:right w:val="none" w:sz="0" w:space="0" w:color="auto"/>
              </w:divBdr>
            </w:div>
          </w:divsChild>
        </w:div>
        <w:div w:id="197861976">
          <w:marLeft w:val="0"/>
          <w:marRight w:val="0"/>
          <w:marTop w:val="0"/>
          <w:marBottom w:val="0"/>
          <w:divBdr>
            <w:top w:val="none" w:sz="0" w:space="0" w:color="auto"/>
            <w:left w:val="none" w:sz="0" w:space="0" w:color="auto"/>
            <w:bottom w:val="none" w:sz="0" w:space="0" w:color="auto"/>
            <w:right w:val="none" w:sz="0" w:space="0" w:color="auto"/>
          </w:divBdr>
        </w:div>
        <w:div w:id="206843927">
          <w:marLeft w:val="0"/>
          <w:marRight w:val="0"/>
          <w:marTop w:val="0"/>
          <w:marBottom w:val="0"/>
          <w:divBdr>
            <w:top w:val="none" w:sz="0" w:space="0" w:color="auto"/>
            <w:left w:val="none" w:sz="0" w:space="0" w:color="auto"/>
            <w:bottom w:val="none" w:sz="0" w:space="0" w:color="auto"/>
            <w:right w:val="none" w:sz="0" w:space="0" w:color="auto"/>
          </w:divBdr>
        </w:div>
        <w:div w:id="1750619330">
          <w:marLeft w:val="0"/>
          <w:marRight w:val="0"/>
          <w:marTop w:val="0"/>
          <w:marBottom w:val="0"/>
          <w:divBdr>
            <w:top w:val="none" w:sz="0" w:space="0" w:color="auto"/>
            <w:left w:val="none" w:sz="0" w:space="0" w:color="auto"/>
            <w:bottom w:val="none" w:sz="0" w:space="0" w:color="auto"/>
            <w:right w:val="none" w:sz="0" w:space="0" w:color="auto"/>
          </w:divBdr>
        </w:div>
        <w:div w:id="1054164364">
          <w:marLeft w:val="0"/>
          <w:marRight w:val="0"/>
          <w:marTop w:val="0"/>
          <w:marBottom w:val="0"/>
          <w:divBdr>
            <w:top w:val="none" w:sz="0" w:space="0" w:color="auto"/>
            <w:left w:val="none" w:sz="0" w:space="0" w:color="auto"/>
            <w:bottom w:val="none" w:sz="0" w:space="0" w:color="auto"/>
            <w:right w:val="none" w:sz="0" w:space="0" w:color="auto"/>
          </w:divBdr>
        </w:div>
        <w:div w:id="767387003">
          <w:marLeft w:val="0"/>
          <w:marRight w:val="0"/>
          <w:marTop w:val="0"/>
          <w:marBottom w:val="0"/>
          <w:divBdr>
            <w:top w:val="none" w:sz="0" w:space="0" w:color="auto"/>
            <w:left w:val="none" w:sz="0" w:space="0" w:color="auto"/>
            <w:bottom w:val="none" w:sz="0" w:space="0" w:color="auto"/>
            <w:right w:val="none" w:sz="0" w:space="0" w:color="auto"/>
          </w:divBdr>
        </w:div>
        <w:div w:id="865485733">
          <w:marLeft w:val="0"/>
          <w:marRight w:val="0"/>
          <w:marTop w:val="0"/>
          <w:marBottom w:val="0"/>
          <w:divBdr>
            <w:top w:val="none" w:sz="0" w:space="0" w:color="auto"/>
            <w:left w:val="none" w:sz="0" w:space="0" w:color="auto"/>
            <w:bottom w:val="none" w:sz="0" w:space="0" w:color="auto"/>
            <w:right w:val="none" w:sz="0" w:space="0" w:color="auto"/>
          </w:divBdr>
        </w:div>
        <w:div w:id="60936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352C982C94548BCC86B5223D4C387" ma:contentTypeVersion="12" ma:contentTypeDescription="Create a new document." ma:contentTypeScope="" ma:versionID="9be4e24b25b511e9f3afca58f56710fc">
  <xsd:schema xmlns:xsd="http://www.w3.org/2001/XMLSchema" xmlns:xs="http://www.w3.org/2001/XMLSchema" xmlns:p="http://schemas.microsoft.com/office/2006/metadata/properties" xmlns:ns3="7e9f3cb4-d1fb-4a8e-8884-0a73a3719474" xmlns:ns4="024c5132-e8f5-4123-971c-239c17fa48db" targetNamespace="http://schemas.microsoft.com/office/2006/metadata/properties" ma:root="true" ma:fieldsID="b40677de2ac1d80eda35b4a6797fd024" ns3:_="" ns4:_="">
    <xsd:import namespace="7e9f3cb4-d1fb-4a8e-8884-0a73a3719474"/>
    <xsd:import namespace="024c5132-e8f5-4123-971c-239c17fa48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f3cb4-d1fb-4a8e-8884-0a73a37194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c5132-e8f5-4123-971c-239c17fa48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F9537-D0BA-4D48-918B-4C089A43C051}">
  <ds:schemaRefs>
    <ds:schemaRef ds:uri="http://schemas.microsoft.com/sharepoint/v3/contenttype/forms"/>
  </ds:schemaRefs>
</ds:datastoreItem>
</file>

<file path=customXml/itemProps2.xml><?xml version="1.0" encoding="utf-8"?>
<ds:datastoreItem xmlns:ds="http://schemas.openxmlformats.org/officeDocument/2006/customXml" ds:itemID="{AE050B26-B37D-40C2-B5C6-3F2D0901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f3cb4-d1fb-4a8e-8884-0a73a3719474"/>
    <ds:schemaRef ds:uri="024c5132-e8f5-4123-971c-239c17fa4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205A6-0D4A-4CC5-8511-4D8E5BF475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Couper, Jonathan</dc:creator>
  <cp:keywords/>
  <dc:description/>
  <cp:lastModifiedBy>Donna Finlay</cp:lastModifiedBy>
  <cp:revision>2</cp:revision>
  <dcterms:created xsi:type="dcterms:W3CDTF">2021-02-26T16:59:00Z</dcterms:created>
  <dcterms:modified xsi:type="dcterms:W3CDTF">2021-02-26T16:59:00Z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0x0101000D2352C982C94548BCC86B5223D4C387</vt:lpwstr>
  </property>
</Properties>
</file>